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4A0" w:firstRow="1" w:lastRow="0" w:firstColumn="1" w:lastColumn="0" w:noHBand="0" w:noVBand="1"/>
      </w:tblPr>
      <w:tblGrid>
        <w:gridCol w:w="4028"/>
        <w:gridCol w:w="236"/>
        <w:gridCol w:w="5116"/>
      </w:tblGrid>
      <w:tr w:rsidR="00B36FD9">
        <w:tc>
          <w:tcPr>
            <w:tcW w:w="4028" w:type="dxa"/>
            <w:shd w:val="clear" w:color="auto" w:fill="auto"/>
          </w:tcPr>
          <w:p w:rsidR="00B36FD9" w:rsidRDefault="00D11083">
            <w:pPr>
              <w:jc w:val="center"/>
              <w:rPr>
                <w:rFonts w:eastAsia="Times New Roman"/>
                <w:lang w:eastAsia="en-US"/>
              </w:rPr>
            </w:pPr>
            <w:bookmarkStart w:id="0" w:name="_GoBack"/>
            <w:bookmarkEnd w:id="0"/>
            <w:r>
              <w:rPr>
                <w:rFonts w:eastAsia="Times New Roman"/>
                <w:lang w:eastAsia="en-US"/>
              </w:rPr>
              <w:t>ĐẢNG BỘ TỈNH ĐỒNG THÁP</w:t>
            </w:r>
          </w:p>
          <w:p w:rsidR="00B36FD9" w:rsidRDefault="00D11083">
            <w:pPr>
              <w:jc w:val="center"/>
              <w:rPr>
                <w:rFonts w:eastAsia="Times New Roman"/>
                <w:b/>
                <w:lang w:eastAsia="en-US"/>
              </w:rPr>
            </w:pPr>
            <w:r>
              <w:rPr>
                <w:rFonts w:eastAsia="Times New Roman"/>
                <w:b/>
                <w:lang w:eastAsia="en-US"/>
              </w:rPr>
              <w:t xml:space="preserve">THÀNH </w:t>
            </w:r>
            <w:r w:rsidR="00E27EA0">
              <w:rPr>
                <w:rFonts w:eastAsia="Times New Roman"/>
                <w:b/>
                <w:lang w:eastAsia="en-US"/>
              </w:rPr>
              <w:t>UỶ</w:t>
            </w:r>
            <w:r>
              <w:rPr>
                <w:rFonts w:eastAsia="Times New Roman"/>
                <w:b/>
                <w:lang w:eastAsia="en-US"/>
              </w:rPr>
              <w:t xml:space="preserve"> HỒNG NGỰ</w:t>
            </w:r>
          </w:p>
          <w:p w:rsidR="00B36FD9" w:rsidRDefault="00D11083">
            <w:pPr>
              <w:jc w:val="center"/>
              <w:rPr>
                <w:rFonts w:eastAsia="Times New Roman"/>
                <w:lang w:eastAsia="en-US"/>
              </w:rPr>
            </w:pPr>
            <w:r>
              <w:rPr>
                <w:rFonts w:eastAsia="Times New Roman"/>
                <w:lang w:eastAsia="en-US"/>
              </w:rPr>
              <w:t>*</w:t>
            </w:r>
          </w:p>
          <w:p w:rsidR="00B36FD9" w:rsidRDefault="00D11083">
            <w:pPr>
              <w:jc w:val="center"/>
              <w:rPr>
                <w:rFonts w:eastAsia="Times New Roman"/>
                <w:lang w:eastAsia="en-US"/>
              </w:rPr>
            </w:pPr>
            <w:r>
              <w:rPr>
                <w:rFonts w:eastAsia="Times New Roman"/>
                <w:lang w:eastAsia="en-US"/>
              </w:rPr>
              <w:t>Số        BC/TU</w:t>
            </w:r>
          </w:p>
        </w:tc>
        <w:tc>
          <w:tcPr>
            <w:tcW w:w="236" w:type="dxa"/>
            <w:shd w:val="clear" w:color="auto" w:fill="auto"/>
          </w:tcPr>
          <w:p w:rsidR="00B36FD9" w:rsidRDefault="00B36FD9">
            <w:pPr>
              <w:ind w:left="-76" w:right="-108"/>
              <w:rPr>
                <w:rFonts w:eastAsia="Times New Roman"/>
                <w:lang w:eastAsia="en-US"/>
              </w:rPr>
            </w:pPr>
          </w:p>
        </w:tc>
        <w:tc>
          <w:tcPr>
            <w:tcW w:w="5116" w:type="dxa"/>
            <w:shd w:val="clear" w:color="auto" w:fill="auto"/>
          </w:tcPr>
          <w:p w:rsidR="00B36FD9" w:rsidRDefault="00D11083">
            <w:pPr>
              <w:jc w:val="center"/>
              <w:rPr>
                <w:rFonts w:eastAsia="Times New Roman"/>
                <w:b/>
                <w:sz w:val="30"/>
                <w:szCs w:val="30"/>
                <w:lang w:eastAsia="en-US"/>
              </w:rPr>
            </w:pPr>
            <w:r>
              <w:rPr>
                <w:rFonts w:eastAsia="Times New Roman"/>
                <w:b/>
                <w:sz w:val="30"/>
                <w:szCs w:val="30"/>
                <w:lang w:eastAsia="en-US"/>
              </w:rPr>
              <w:t>ĐẢNG CỘNG SẢN VIỆT NAM</w:t>
            </w:r>
          </w:p>
          <w:p w:rsidR="00B36FD9" w:rsidRDefault="00D11083">
            <w:pPr>
              <w:jc w:val="center"/>
              <w:rPr>
                <w:rFonts w:eastAsia="Times New Roman"/>
                <w:i/>
                <w:lang w:eastAsia="en-US"/>
              </w:rPr>
            </w:pPr>
            <w:r>
              <w:rPr>
                <w:rFonts w:eastAsia="Times New Roman"/>
                <w: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20955</wp:posOffset>
                      </wp:positionV>
                      <wp:extent cx="2592070" cy="0"/>
                      <wp:effectExtent l="5715" t="7620" r="1206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ln>
                            </wps:spPr>
                            <wps:bodyPr/>
                          </wps:wsp>
                        </a:graphicData>
                      </a:graphic>
                    </wp:anchor>
                  </w:drawing>
                </mc:Choice>
                <mc:Fallback>
                  <w:pict>
                    <v:line w14:anchorId="3AC984D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pt,1.65pt" to="22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"/>
                  </w:pict>
                </mc:Fallback>
              </mc:AlternateContent>
            </w:r>
          </w:p>
          <w:p w:rsidR="00B36FD9" w:rsidRDefault="004478E0">
            <w:pPr>
              <w:jc w:val="center"/>
              <w:rPr>
                <w:rFonts w:eastAsia="Times New Roman"/>
                <w:i/>
                <w:lang w:eastAsia="en-US"/>
              </w:rPr>
            </w:pPr>
            <w:r>
              <w:rPr>
                <w:rFonts w:eastAsia="Times New Roman"/>
                <w:i/>
                <w:lang w:eastAsia="en-US"/>
              </w:rPr>
              <w:t xml:space="preserve">Hồng Ngự, ngày   </w:t>
            </w:r>
            <w:r w:rsidR="006B1784">
              <w:rPr>
                <w:rFonts w:eastAsia="Times New Roman"/>
                <w:i/>
                <w:lang w:eastAsia="en-US"/>
              </w:rPr>
              <w:t>tháng 3</w:t>
            </w:r>
            <w:r w:rsidR="00D11083">
              <w:rPr>
                <w:rFonts w:eastAsia="Times New Roman"/>
                <w:i/>
                <w:lang w:eastAsia="en-US"/>
              </w:rPr>
              <w:t xml:space="preserve"> năm 2024</w:t>
            </w:r>
          </w:p>
        </w:tc>
      </w:tr>
    </w:tbl>
    <w:p w:rsidR="00B36FD9" w:rsidRDefault="00B36FD9">
      <w:pPr>
        <w:spacing w:line="288" w:lineRule="auto"/>
      </w:pPr>
    </w:p>
    <w:p w:rsidR="00B36FD9" w:rsidRDefault="00D11083">
      <w:pPr>
        <w:spacing w:line="288" w:lineRule="auto"/>
        <w:jc w:val="center"/>
        <w:rPr>
          <w:b/>
          <w:sz w:val="32"/>
          <w:szCs w:val="32"/>
        </w:rPr>
      </w:pPr>
      <w:r>
        <w:rPr>
          <w:b/>
          <w:sz w:val="32"/>
          <w:szCs w:val="32"/>
        </w:rPr>
        <w:t>BÁO CÁO</w:t>
      </w:r>
    </w:p>
    <w:p w:rsidR="006B1784" w:rsidRDefault="00D11083">
      <w:pPr>
        <w:jc w:val="center"/>
        <w:rPr>
          <w:b/>
        </w:rPr>
      </w:pPr>
      <w:r>
        <w:rPr>
          <w:rFonts w:eastAsia="Times New Roman"/>
          <w:b/>
          <w:lang w:eastAsia="en-US"/>
        </w:rPr>
        <w:t xml:space="preserve">Sơ kết 03 năm thực hiện </w:t>
      </w:r>
      <w:r>
        <w:rPr>
          <w:b/>
        </w:rPr>
        <w:t xml:space="preserve">Chương trình hành động số 16-CTr/TU của </w:t>
      </w:r>
    </w:p>
    <w:p w:rsidR="00B36FD9" w:rsidRDefault="00D11083">
      <w:pPr>
        <w:jc w:val="center"/>
        <w:rPr>
          <w:b/>
        </w:rPr>
      </w:pPr>
      <w:r>
        <w:rPr>
          <w:b/>
        </w:rPr>
        <w:t>Ban Chấp hành Đảng bộ Thành phố về phát triển nông nghiệp theo hướng nông nghiệp đô thị trên địa bàn Thành phố, giai đoạn 2021-2025</w:t>
      </w:r>
    </w:p>
    <w:p w:rsidR="00B36FD9" w:rsidRDefault="00D11083">
      <w:pPr>
        <w:jc w:val="center"/>
      </w:pPr>
      <w:r>
        <w:t>-----</w:t>
      </w:r>
    </w:p>
    <w:p w:rsidR="00B36FD9" w:rsidRDefault="00D11083">
      <w:pPr>
        <w:spacing w:before="120" w:line="360" w:lineRule="exact"/>
        <w:ind w:firstLine="567"/>
        <w:jc w:val="both"/>
      </w:pPr>
      <w:r>
        <w:t>Thực hiện Chương trình hành động số 16-CTr/TU ngày 15 tháng 4 năm 2021 của Ban Chấp hành Đảng bộ Thành phố về phát triển nông nghiệp theo hướng nông nghiệp đô thị trên địa bàn Thành phố giai đoạ</w:t>
      </w:r>
      <w:r w:rsidR="00EA5536">
        <w:t xml:space="preserve">n 2021 - 2025, </w:t>
      </w:r>
      <w:r>
        <w:t xml:space="preserve">Ban Thường vụ Thành </w:t>
      </w:r>
      <w:r w:rsidR="00E27EA0">
        <w:t>uỷ</w:t>
      </w:r>
      <w:r>
        <w:t xml:space="preserve"> báo cáo sơ kế</w:t>
      </w:r>
      <w:r w:rsidR="006B1784">
        <w:t>t 3</w:t>
      </w:r>
      <w:r>
        <w:t xml:space="preserve"> năm thực hiện như sau:</w:t>
      </w:r>
    </w:p>
    <w:p w:rsidR="00B36FD9" w:rsidRDefault="00D11083">
      <w:pPr>
        <w:spacing w:before="120" w:line="360" w:lineRule="exact"/>
        <w:ind w:firstLine="567"/>
        <w:jc w:val="both"/>
        <w:rPr>
          <w:b/>
        </w:rPr>
      </w:pPr>
      <w:r>
        <w:rPr>
          <w:b/>
        </w:rPr>
        <w:t>I- CÔNG TÁC TRIỂN KHAI, QUÁN TRIỆT</w:t>
      </w:r>
    </w:p>
    <w:p w:rsidR="00B36FD9" w:rsidRDefault="00D11083">
      <w:pPr>
        <w:spacing w:before="120" w:line="360" w:lineRule="exact"/>
        <w:ind w:firstLine="567"/>
        <w:jc w:val="both"/>
      </w:pPr>
      <w:r>
        <w:t xml:space="preserve">Thực hiện Chương trình hành động số 16-CTr/TU ngày 15 tháng 4 năm 2021 của Ban Chấp hành Đảng bộ Thành phố về phát triển nông nghiệp theo hướng nông nghiệp đô thị trên địa bàn Thành phố giai đoạn 2021 - 2025, Ban Thường vụ Thành </w:t>
      </w:r>
      <w:r w:rsidR="00E27EA0">
        <w:t>uỷ</w:t>
      </w:r>
      <w:r>
        <w:t xml:space="preserve"> lãnh đạo tổ chức triển khai, quán triệt đến các đồng chí Thành </w:t>
      </w:r>
      <w:r w:rsidR="00E27EA0">
        <w:t>uỷ</w:t>
      </w:r>
      <w:r>
        <w:t xml:space="preserve"> viên, Bí thư các chi bộ, đảng bộ cơ sở; Thủ trưởng các phòng, ban, ngành Thành phố; Mặt trận Tổ quốc và các tổ chức chính trị - xã hội Thành phố nắm để tổ chức triển khai thực hiện. Đồng thời, chỉ đạo Đảng </w:t>
      </w:r>
      <w:r w:rsidR="00E27EA0">
        <w:t>uỷ</w:t>
      </w:r>
      <w:r>
        <w:t xml:space="preserve"> các xã - phường cụ thể hóa thành kế hoạch thực hiện phù hợp với tình hình thực tế tại địa phương để tổ chức triển khai đạt hiệu quả cao nhất các mục tiêu, nhiệm vụ, giải pháp mà Chương trình hành động đề ra. Theo tinh thần chỉ đạo của Ban Thường vụ Thành </w:t>
      </w:r>
      <w:r w:rsidR="00E27EA0">
        <w:t>uỷ</w:t>
      </w:r>
      <w:r>
        <w:t xml:space="preserve">, </w:t>
      </w:r>
      <w:r w:rsidR="00E27EA0">
        <w:t>Uỷ</w:t>
      </w:r>
      <w:r>
        <w:t xml:space="preserve"> ban nhân dân Thành phố cũng chỉ đạo các phòng, ban, ngành chuyên môn Thành phố thường xuyên phối hợp với Mặt trận Tổ quốc và các tổ chức chính trị - xã hội Thành phố; Đảng </w:t>
      </w:r>
      <w:r w:rsidR="00E27EA0">
        <w:t>uỷ</w:t>
      </w:r>
      <w:r>
        <w:t xml:space="preserve">, </w:t>
      </w:r>
      <w:r w:rsidR="00E27EA0">
        <w:t>Uỷ</w:t>
      </w:r>
      <w:r>
        <w:t xml:space="preserve"> ban nhân dân các xã - phường tuyên truyền, phổ biến nội dung Chương trình hành động số 16-CTr/TU đến toàn thể cán bộ, đảng viên, đoàn viên, hội viên và các tầng lớp Nhân dân trên địa bàn biết, để cùng tham gia thực hiện; mặt khác, cũng yêu cầu rà soát lại các mô hình phát triển nông nghiệp trên địa bàn quản lý để có định hướng phát triển phù hợp với từng vùng, từng địa phương.</w:t>
      </w:r>
    </w:p>
    <w:p w:rsidR="00B36FD9" w:rsidRDefault="00D11083">
      <w:pPr>
        <w:spacing w:before="120" w:line="360" w:lineRule="exact"/>
        <w:ind w:firstLine="567"/>
        <w:jc w:val="both"/>
      </w:pPr>
      <w:r>
        <w:t xml:space="preserve">Nhìn chung, qua công tác triển khai quán triệt về nội dung Chương trình hành động số 16-CTr/TU, các phòng, ban, ngành Thành phố; cấp </w:t>
      </w:r>
      <w:r w:rsidR="00E27EA0">
        <w:t>uỷ</w:t>
      </w:r>
      <w:r>
        <w:t xml:space="preserve"> đảng, chính quyền, cán bộ, đảng viên và Nhân dân trên địa bàn đã nhận thức rõ hơn về vai trò, ý nghĩa và tầm quan trọng của việc phát triển nông nghiệp đô thị; xác định nông nghiệp đô thị là nhiệm vụ quan trọng của cả hệ thống chính trị, của toàn dân trong công cuộc phát triển kinh tế - xã hội nhất, mà nhất là thời kỳ công nghiệp hóa, hiện đại hóa và kinh tế nông nghiệp như hiện nay.</w:t>
      </w:r>
    </w:p>
    <w:p w:rsidR="00B36FD9" w:rsidRDefault="00D11083">
      <w:pPr>
        <w:spacing w:before="120" w:line="360" w:lineRule="exact"/>
        <w:ind w:firstLine="567"/>
        <w:jc w:val="both"/>
        <w:rPr>
          <w:b/>
        </w:rPr>
      </w:pPr>
      <w:r>
        <w:rPr>
          <w:b/>
        </w:rPr>
        <w:lastRenderedPageBreak/>
        <w:t>II- KẾT QUẢ THỰC HIỆN</w:t>
      </w:r>
    </w:p>
    <w:p w:rsidR="00B36FD9" w:rsidRDefault="00D11083">
      <w:pPr>
        <w:spacing w:before="120" w:line="360" w:lineRule="exact"/>
        <w:ind w:firstLine="567"/>
        <w:jc w:val="both"/>
        <w:rPr>
          <w:rFonts w:eastAsia="Times New Roman"/>
          <w:b/>
          <w:lang w:eastAsia="en-US"/>
        </w:rPr>
      </w:pPr>
      <w:r>
        <w:rPr>
          <w:rFonts w:eastAsia="Times New Roman"/>
          <w:b/>
          <w:lang w:eastAsia="en-US"/>
        </w:rPr>
        <w:t xml:space="preserve">1. </w:t>
      </w:r>
      <w:r>
        <w:rPr>
          <w:rFonts w:eastAsia="Times New Roman"/>
          <w:b/>
          <w:lang w:val="vi-VN" w:eastAsia="en-US"/>
        </w:rPr>
        <w:t xml:space="preserve">Nâng cao công tác lãnh đạo của cấp </w:t>
      </w:r>
      <w:r w:rsidR="00E27EA0">
        <w:rPr>
          <w:rFonts w:eastAsia="Times New Roman"/>
          <w:b/>
          <w:lang w:val="vi-VN" w:eastAsia="en-US"/>
        </w:rPr>
        <w:t>uỷ</w:t>
      </w:r>
      <w:r>
        <w:rPr>
          <w:rFonts w:eastAsia="Times New Roman"/>
          <w:b/>
          <w:lang w:val="vi-VN" w:eastAsia="en-US"/>
        </w:rPr>
        <w:t>, qu</w:t>
      </w:r>
      <w:r w:rsidR="00E27EA0">
        <w:rPr>
          <w:rFonts w:eastAsia="Times New Roman"/>
          <w:b/>
          <w:lang w:val="vi-VN" w:eastAsia="en-US"/>
        </w:rPr>
        <w:t xml:space="preserve">ản lý của </w:t>
      </w:r>
      <w:r w:rsidR="00E27EA0">
        <w:rPr>
          <w:rFonts w:eastAsia="Times New Roman"/>
          <w:b/>
          <w:lang w:eastAsia="en-US"/>
        </w:rPr>
        <w:t>N</w:t>
      </w:r>
      <w:r>
        <w:rPr>
          <w:rFonts w:eastAsia="Times New Roman"/>
          <w:b/>
          <w:lang w:val="vi-VN" w:eastAsia="en-US"/>
        </w:rPr>
        <w:t>hà nước và sự phối hợp của Mặt trận Tổ quốc</w:t>
      </w:r>
      <w:r>
        <w:rPr>
          <w:rFonts w:eastAsia="Times New Roman"/>
          <w:b/>
          <w:lang w:eastAsia="en-US"/>
        </w:rPr>
        <w:t xml:space="preserve">, </w:t>
      </w:r>
      <w:r>
        <w:rPr>
          <w:rFonts w:eastAsia="Times New Roman"/>
          <w:b/>
          <w:lang w:val="vi-VN" w:eastAsia="en-US"/>
        </w:rPr>
        <w:t xml:space="preserve">các </w:t>
      </w:r>
      <w:r>
        <w:rPr>
          <w:rFonts w:eastAsia="Times New Roman"/>
          <w:b/>
          <w:lang w:eastAsia="en-US"/>
        </w:rPr>
        <w:t>tổ chức</w:t>
      </w:r>
      <w:r>
        <w:rPr>
          <w:rFonts w:eastAsia="Times New Roman"/>
          <w:b/>
          <w:lang w:val="vi-VN" w:eastAsia="en-US"/>
        </w:rPr>
        <w:t xml:space="preserve"> chính trị - xã hội</w:t>
      </w:r>
    </w:p>
    <w:p w:rsidR="00B36FD9" w:rsidRDefault="00D11083">
      <w:pPr>
        <w:spacing w:before="120" w:line="360" w:lineRule="exact"/>
        <w:ind w:firstLine="567"/>
        <w:jc w:val="both"/>
        <w:rPr>
          <w:color w:val="FF0000"/>
        </w:rPr>
      </w:pPr>
      <w:r>
        <w:t xml:space="preserve">Qua 03 năm triển khai thực hiện, Ban Thường vụ Thành uỷ đã tập trung lãnh đạo, chỉ đạo các cấp uỷ Đảng, Uỷ ban nhân dân Thành phố, các phòng, ban, ngành Thành phố và các xã - phường tổ chức triển khai thực hiện bước đầu đã xuất hiện nhiều mô hình phát triển kinh tế phù hợp với định hướng phát triển nông nghiệp đô thị của địa phương và mang lại hiệu quả kinh tế cao như: </w:t>
      </w:r>
      <w:r>
        <w:rPr>
          <w:rStyle w:val="fontstyle01"/>
        </w:rPr>
        <w:t>Mô hình sản xuất lúa sạch ứng dụng công nghệ cao; mô</w:t>
      </w:r>
      <w:r>
        <w:rPr>
          <w:rFonts w:ascii="TimesNewRomanPSMT" w:hAnsi="TimesNewRomanPSMT"/>
          <w:color w:val="000000"/>
        </w:rPr>
        <w:t xml:space="preserve"> </w:t>
      </w:r>
      <w:r>
        <w:rPr>
          <w:rStyle w:val="fontstyle01"/>
        </w:rPr>
        <w:t>hình sản xuất lúa giống nguyên chủng và mô hình luân canh trồng đậu nành rau</w:t>
      </w:r>
      <w:r>
        <w:rPr>
          <w:rFonts w:ascii="TimesNewRomanPSMT" w:hAnsi="TimesNewRomanPSMT"/>
          <w:color w:val="000000"/>
        </w:rPr>
        <w:t xml:space="preserve"> </w:t>
      </w:r>
      <w:r>
        <w:rPr>
          <w:rStyle w:val="fontstyle01"/>
        </w:rPr>
        <w:t>trên nền đất lúa gắn với liên kết tiêu thụ thực hiện tại An</w:t>
      </w:r>
      <w:r>
        <w:rPr>
          <w:rFonts w:ascii="TimesNewRomanPSMT" w:hAnsi="TimesNewRomanPSMT"/>
          <w:color w:val="000000"/>
        </w:rPr>
        <w:t xml:space="preserve"> </w:t>
      </w:r>
      <w:r>
        <w:rPr>
          <w:rStyle w:val="fontstyle01"/>
        </w:rPr>
        <w:t xml:space="preserve">Bình B </w:t>
      </w:r>
      <w:r>
        <w:rPr>
          <w:rStyle w:val="fontstyle21"/>
        </w:rPr>
        <w:t>(22 ha)</w:t>
      </w:r>
      <w:r>
        <w:rPr>
          <w:rStyle w:val="fontstyle01"/>
        </w:rPr>
        <w:t>; mô hình ứng dụng công nghệ cao trồng dưa lưới trong nhà kín gắn</w:t>
      </w:r>
      <w:r>
        <w:rPr>
          <w:rFonts w:ascii="TimesNewRomanPSMT" w:hAnsi="TimesNewRomanPSMT"/>
          <w:color w:val="000000"/>
        </w:rPr>
        <w:t xml:space="preserve"> </w:t>
      </w:r>
      <w:r>
        <w:rPr>
          <w:rStyle w:val="fontstyle01"/>
        </w:rPr>
        <w:t xml:space="preserve">với truy xuất nguồn </w:t>
      </w:r>
      <w:r w:rsidRPr="00E27EA0">
        <w:rPr>
          <w:rStyle w:val="fontstyle01"/>
          <w:i/>
        </w:rPr>
        <w:t>(0,4</w:t>
      </w:r>
      <w:r w:rsidR="00E27EA0">
        <w:rPr>
          <w:rStyle w:val="fontstyle01"/>
          <w:i/>
        </w:rPr>
        <w:t xml:space="preserve"> </w:t>
      </w:r>
      <w:r w:rsidRPr="00E27EA0">
        <w:rPr>
          <w:rStyle w:val="fontstyle01"/>
          <w:i/>
        </w:rPr>
        <w:t>ha)</w:t>
      </w:r>
      <w:r>
        <w:rPr>
          <w:rStyle w:val="fontstyle01"/>
        </w:rPr>
        <w:t>; mô hình trồng dừa hữu cơ lấy mật (</w:t>
      </w:r>
      <w:r w:rsidR="00E27EA0">
        <w:rPr>
          <w:rStyle w:val="fontstyle01"/>
        </w:rPr>
        <w:t>0</w:t>
      </w:r>
      <w:r>
        <w:rPr>
          <w:rStyle w:val="fontstyle01"/>
        </w:rPr>
        <w:t>5</w:t>
      </w:r>
      <w:r w:rsidR="00E27EA0">
        <w:rPr>
          <w:rStyle w:val="fontstyle01"/>
        </w:rPr>
        <w:t xml:space="preserve"> </w:t>
      </w:r>
      <w:r>
        <w:rPr>
          <w:rStyle w:val="fontstyle01"/>
        </w:rPr>
        <w:t>ha);</w:t>
      </w:r>
      <w:r>
        <w:rPr>
          <w:rFonts w:ascii="TimesNewRomanPSMT" w:hAnsi="TimesNewRomanPSMT"/>
          <w:color w:val="000000"/>
        </w:rPr>
        <w:t xml:space="preserve"> ươm cây giống trong nhà màng nông nghiệp </w:t>
      </w:r>
      <w:r>
        <w:rPr>
          <w:rFonts w:ascii="TimesNewRomanPSMT" w:hAnsi="TimesNewRomanPSMT"/>
          <w:i/>
          <w:iCs/>
          <w:color w:val="000000"/>
        </w:rPr>
        <w:t>(12 nhà)</w:t>
      </w:r>
      <w:r>
        <w:rPr>
          <w:rFonts w:ascii="TimesNewRomanPSMT" w:hAnsi="TimesNewRomanPSMT"/>
          <w:color w:val="000000"/>
        </w:rPr>
        <w:t xml:space="preserve">; mô hình trồng cây ăn trái áp tưới tự động </w:t>
      </w:r>
      <w:r>
        <w:rPr>
          <w:rFonts w:ascii="TimesNewRomanPSMT" w:hAnsi="TimesNewRomanPSMT"/>
          <w:i/>
          <w:iCs/>
          <w:color w:val="000000"/>
        </w:rPr>
        <w:t>(03</w:t>
      </w:r>
      <w:r w:rsidR="00E27EA0">
        <w:rPr>
          <w:rFonts w:ascii="TimesNewRomanPSMT" w:hAnsi="TimesNewRomanPSMT"/>
          <w:i/>
          <w:iCs/>
          <w:color w:val="000000"/>
        </w:rPr>
        <w:t xml:space="preserve"> </w:t>
      </w:r>
      <w:r>
        <w:rPr>
          <w:rFonts w:ascii="TimesNewRomanPSMT" w:hAnsi="TimesNewRomanPSMT"/>
          <w:i/>
          <w:iCs/>
          <w:color w:val="000000"/>
        </w:rPr>
        <w:t>hộ)</w:t>
      </w:r>
      <w:r>
        <w:rPr>
          <w:rFonts w:ascii="TimesNewRomanPSMT" w:hAnsi="TimesNewRomanPSMT"/>
          <w:color w:val="000000"/>
        </w:rPr>
        <w:t xml:space="preserve">; mô hình trồng cây công trình </w:t>
      </w:r>
      <w:r>
        <w:rPr>
          <w:rFonts w:ascii="TimesNewRomanPSMT" w:hAnsi="TimesNewRomanPSMT"/>
          <w:i/>
          <w:iCs/>
          <w:color w:val="000000"/>
        </w:rPr>
        <w:t xml:space="preserve">(35 ha); </w:t>
      </w:r>
      <w:r>
        <w:rPr>
          <w:rFonts w:ascii="TimesNewRomanPSMT" w:hAnsi="TimesNewRomanPSMT"/>
          <w:iCs/>
          <w:color w:val="000000"/>
        </w:rPr>
        <w:t>mô hình</w:t>
      </w:r>
      <w:r>
        <w:rPr>
          <w:rFonts w:ascii="TimesNewRomanPSMT" w:hAnsi="TimesNewRomanPSMT"/>
          <w:i/>
          <w:iCs/>
          <w:color w:val="000000"/>
        </w:rPr>
        <w:t xml:space="preserve"> </w:t>
      </w:r>
      <w:r>
        <w:rPr>
          <w:rFonts w:ascii="TimesNewRomanPSMT" w:hAnsi="TimesNewRomanPSMT"/>
          <w:color w:val="000000"/>
        </w:rPr>
        <w:t xml:space="preserve">trồng hoa kiểng - bonsai </w:t>
      </w:r>
      <w:r>
        <w:rPr>
          <w:rFonts w:ascii="TimesNewRomanPSMT" w:hAnsi="TimesNewRomanPSMT"/>
          <w:i/>
          <w:iCs/>
          <w:color w:val="000000"/>
        </w:rPr>
        <w:t>(35 hộ và đã thành lập được 02 tổ liên kết trồng hoa kiểng tạ</w:t>
      </w:r>
      <w:r w:rsidR="00E27EA0">
        <w:rPr>
          <w:rFonts w:ascii="TimesNewRomanPSMT" w:hAnsi="TimesNewRomanPSMT"/>
          <w:i/>
          <w:iCs/>
          <w:color w:val="000000"/>
        </w:rPr>
        <w:t>i phường</w:t>
      </w:r>
      <w:r>
        <w:rPr>
          <w:rFonts w:ascii="TimesNewRomanPSMT" w:hAnsi="TimesNewRomanPSMT"/>
          <w:i/>
          <w:iCs/>
          <w:color w:val="000000"/>
        </w:rPr>
        <w:t xml:space="preserve"> An Thạnh và </w:t>
      </w:r>
      <w:r w:rsidR="00E27EA0">
        <w:rPr>
          <w:rFonts w:ascii="TimesNewRomanPSMT" w:hAnsi="TimesNewRomanPSMT"/>
          <w:i/>
          <w:iCs/>
          <w:color w:val="000000"/>
        </w:rPr>
        <w:t xml:space="preserve">phường </w:t>
      </w:r>
      <w:r>
        <w:rPr>
          <w:rFonts w:ascii="TimesNewRomanPSMT" w:hAnsi="TimesNewRomanPSMT"/>
          <w:i/>
          <w:iCs/>
          <w:color w:val="000000"/>
        </w:rPr>
        <w:t>An Bình B)</w:t>
      </w:r>
      <w:r>
        <w:rPr>
          <w:rFonts w:ascii="TimesNewRomanPSMT" w:hAnsi="TimesNewRomanPSMT"/>
          <w:color w:val="000000"/>
        </w:rPr>
        <w:t xml:space="preserve">; mô hình trồng nấm rơm trong nhà kính </w:t>
      </w:r>
      <w:r>
        <w:rPr>
          <w:rFonts w:ascii="TimesNewRomanPSMT" w:hAnsi="TimesNewRomanPSMT"/>
          <w:i/>
          <w:iCs/>
          <w:color w:val="000000"/>
        </w:rPr>
        <w:t>(09 nhà)</w:t>
      </w:r>
      <w:r>
        <w:rPr>
          <w:rFonts w:ascii="TimesNewRomanPSMT" w:hAnsi="TimesNewRomanPSMT"/>
          <w:color w:val="000000"/>
        </w:rPr>
        <w:t xml:space="preserve">; mô hình nuôi lươn bằng hệ thống lọc tuần hoàn nước </w:t>
      </w:r>
      <w:r>
        <w:rPr>
          <w:rFonts w:ascii="TimesNewRomanPSMT" w:hAnsi="TimesNewRomanPSMT"/>
          <w:i/>
          <w:iCs/>
          <w:color w:val="000000"/>
        </w:rPr>
        <w:t>(15 hệ thống)</w:t>
      </w:r>
      <w:r>
        <w:rPr>
          <w:rFonts w:ascii="TimesNewRomanPSMT" w:hAnsi="TimesNewRomanPSMT"/>
          <w:color w:val="000000"/>
        </w:rPr>
        <w:t xml:space="preserve">; mô hình sinh sản lươn trong bể lót bạt </w:t>
      </w:r>
      <w:r>
        <w:rPr>
          <w:rFonts w:ascii="TimesNewRomanPSMT" w:hAnsi="TimesNewRomanPSMT"/>
          <w:i/>
          <w:iCs/>
          <w:color w:val="000000"/>
        </w:rPr>
        <w:t>(40 hộ, thành lập mới Hội quán nuôi lươn -</w:t>
      </w:r>
      <w:r>
        <w:rPr>
          <w:rFonts w:ascii="TimesNewRomanPSMT" w:hAnsi="TimesNewRomanPSMT"/>
          <w:color w:val="000000"/>
        </w:rPr>
        <w:t xml:space="preserve"> </w:t>
      </w:r>
      <w:r>
        <w:rPr>
          <w:rFonts w:ascii="TimesNewRomanPSMT" w:hAnsi="TimesNewRomanPSMT"/>
          <w:i/>
          <w:iCs/>
          <w:color w:val="000000"/>
        </w:rPr>
        <w:t>Bình Lý với 35 thành viên)</w:t>
      </w:r>
      <w:r>
        <w:rPr>
          <w:rFonts w:ascii="TimesNewRomanPSMT" w:hAnsi="TimesNewRomanPSMT"/>
          <w:color w:val="000000"/>
        </w:rPr>
        <w:t xml:space="preserve">; </w:t>
      </w:r>
      <w:r>
        <w:t xml:space="preserve">mô hình trồng dưa lưới trong nhà kính (01 nhà); nuôi cá kiểng </w:t>
      </w:r>
      <w:r w:rsidRPr="00E27EA0">
        <w:rPr>
          <w:i/>
        </w:rPr>
        <w:t>(07 hộ)</w:t>
      </w:r>
      <w:r>
        <w:t>, chim kiểng,…</w:t>
      </w:r>
      <w:r>
        <w:rPr>
          <w:color w:val="000000" w:themeColor="text1"/>
        </w:rPr>
        <w:t xml:space="preserve"> </w:t>
      </w:r>
      <w:r>
        <w:t xml:space="preserve">những mô hình sản xuất này về cơ bản không cần diện tích lớn nhưng mang lại giá trị kinh tế cao, sản phẩm tạo ra theo hướng an toàn, thân thiện với môi trường, thích ứng với điều kiện biến đổi khí hậu và có thể phát triển lâu dài trong tương lai trên địa bàn Thành phố. </w:t>
      </w:r>
    </w:p>
    <w:p w:rsidR="00B36FD9" w:rsidRDefault="00D11083">
      <w:pPr>
        <w:spacing w:before="120" w:line="360" w:lineRule="exact"/>
        <w:ind w:firstLine="567"/>
        <w:jc w:val="both"/>
      </w:pPr>
      <w:r>
        <w:t xml:space="preserve">Đồng thời, Ban Thường vụ Thành </w:t>
      </w:r>
      <w:r w:rsidR="00E27EA0">
        <w:t>uỷ</w:t>
      </w:r>
      <w:r>
        <w:t xml:space="preserve"> thống nhất chủ trương giao </w:t>
      </w:r>
      <w:r w:rsidR="00E27EA0">
        <w:t>Uỷ</w:t>
      </w:r>
      <w:r>
        <w:t xml:space="preserve"> ban nhân dân Thành phố tổ chức chọn đơn vị tư vấn có đủ năng lực để lập Đề án phát triển nông nghiệp đô thị thành phố Hồng Ngự giai đoạn 2021-2025, tầm nhìn đến năm 2030; đến nay Đề án phát triển nông nghiệp đô thị đến năm 2030 thành phố Hồng Ngự đã được cấp thẩm quyền phê duyệt và hiện đang tổ chức triển khai thực hiện trên địa bàn Thành phố. Theo đó, trong thời gian tới Thành phố tiếp tục tập trung chỉ đạo phát triển nền nông nghiệp theo đúng nội dung Đề án, hướng đến mô hình nông nghiệp chất lượng cao, an toàn, bền vững, lâu dài, gắn với điều kiện đô thị hóa của Thành phố.</w:t>
      </w:r>
    </w:p>
    <w:p w:rsidR="00B36FD9" w:rsidRDefault="00E27EA0">
      <w:pPr>
        <w:spacing w:before="120" w:line="360" w:lineRule="exact"/>
        <w:ind w:firstLine="567"/>
        <w:jc w:val="both"/>
        <w:rPr>
          <w:rFonts w:eastAsia="Times New Roman"/>
          <w:lang w:eastAsia="en-US"/>
        </w:rPr>
      </w:pPr>
      <w:r>
        <w:rPr>
          <w:rFonts w:eastAsia="Cambria"/>
          <w:lang w:eastAsia="en-US"/>
        </w:rPr>
        <w:t>Uỷ</w:t>
      </w:r>
      <w:r w:rsidR="00D11083">
        <w:rPr>
          <w:rFonts w:eastAsia="Cambria"/>
          <w:lang w:eastAsia="en-US"/>
        </w:rPr>
        <w:t xml:space="preserve"> ban nhân dân Thành phố chỉ đạo các ngành chuyên môn tăng cường phối hợp với </w:t>
      </w:r>
      <w:r w:rsidR="00D11083">
        <w:rPr>
          <w:rFonts w:eastAsia="Times New Roman"/>
          <w:lang w:val="vi-VN" w:eastAsia="en-US"/>
        </w:rPr>
        <w:t>Mặt trận Tổ quốc</w:t>
      </w:r>
      <w:r w:rsidR="00D11083">
        <w:rPr>
          <w:rFonts w:eastAsia="Times New Roman"/>
          <w:lang w:eastAsia="en-US"/>
        </w:rPr>
        <w:t xml:space="preserve">, </w:t>
      </w:r>
      <w:r w:rsidR="00D11083">
        <w:rPr>
          <w:rFonts w:eastAsia="Times New Roman"/>
          <w:lang w:val="vi-VN" w:eastAsia="en-US"/>
        </w:rPr>
        <w:t xml:space="preserve">các </w:t>
      </w:r>
      <w:r w:rsidR="00D11083">
        <w:rPr>
          <w:rFonts w:eastAsia="Times New Roman"/>
          <w:lang w:eastAsia="en-US"/>
        </w:rPr>
        <w:t>tổ chức</w:t>
      </w:r>
      <w:r w:rsidR="00D11083">
        <w:rPr>
          <w:rFonts w:eastAsia="Times New Roman"/>
          <w:lang w:val="vi-VN" w:eastAsia="en-US"/>
        </w:rPr>
        <w:t xml:space="preserve"> chính trị - xã hội</w:t>
      </w:r>
      <w:r w:rsidR="00D11083">
        <w:rPr>
          <w:rFonts w:eastAsia="Times New Roman"/>
          <w:lang w:eastAsia="en-US"/>
        </w:rPr>
        <w:t xml:space="preserve"> Thành phố và các xã - phường thường xuyên quan tâm theo dõi, cử cán bộ chuyên môn đến hỗ trợ trực tiếp tại các mô hình để động viên, hướng dẫn kỹ thuật và kịp thời giải quyết những khó khăn, vướng mắc cho người dân; kịp thời nhân rộng các mô hình nông nghiệp đô thị hiệu quả nhằm giúp đa dạng loại hình kinh tế phù hợp với nhu cầu phát triển của Thành phố hiện nay, tạo điều kiện cho những hộ có ít đất sản xuất tham gia làm kinh tế giúp gia tăng thu nhập cho kinh tế hộ gia đình. Bên cạnh đó, những mô hình sản xuất nông nghiệp theo hướng an toàn, được các ngành, các cấp Thành phố thường xuyên quan tâm hỗ trợ đã dần có thương hiệu và đến nay trên địa bàn Thành phố </w:t>
      </w:r>
      <w:r w:rsidR="00D11083">
        <w:t>có 0</w:t>
      </w:r>
      <w:r w:rsidR="00D11083">
        <w:rPr>
          <w:lang w:val="sv-SE"/>
        </w:rPr>
        <w:t>9 cơ sở trồng lúa</w:t>
      </w:r>
      <w:r w:rsidR="00D11083">
        <w:rPr>
          <w:vertAlign w:val="superscript"/>
          <w:lang w:val="sv-SE"/>
        </w:rPr>
        <w:t>(</w:t>
      </w:r>
      <w:r w:rsidR="00D11083">
        <w:rPr>
          <w:vertAlign w:val="superscript"/>
          <w:lang w:val="sv-SE"/>
        </w:rPr>
        <w:footnoteReference w:id="1"/>
      </w:r>
      <w:r w:rsidR="00D11083">
        <w:rPr>
          <w:vertAlign w:val="superscript"/>
          <w:lang w:val="sv-SE"/>
        </w:rPr>
        <w:t>)</w:t>
      </w:r>
      <w:r w:rsidR="00D11083">
        <w:rPr>
          <w:lang w:val="sv-SE"/>
        </w:rPr>
        <w:t xml:space="preserve"> được cấp giấy chứng nhận cơ sở đủ điều kiện an toàn thực phẩm, với tổng diện tích là 1.780 ha; </w:t>
      </w:r>
      <w:r w:rsidR="00D11083">
        <w:t>thực hiện 01</w:t>
      </w:r>
      <w:r w:rsidR="00D11083">
        <w:rPr>
          <w:b/>
        </w:rPr>
        <w:t xml:space="preserve"> </w:t>
      </w:r>
      <w:r>
        <w:t>mô hình truy x</w:t>
      </w:r>
      <w:r w:rsidR="00D11083">
        <w:t>uất nguồn gốc tại Tổ hợp tác sản xuất lúa VietGAP thuộc khu 3, phường An Bình B với diện tích 15 ha; hỗ trợ đăng ký và được cấp mã số vùng trồng đối với 11 cơ sở sản xuất, với tổng diện tích là 3.066,63 ha</w:t>
      </w:r>
      <w:r w:rsidR="00D11083">
        <w:rPr>
          <w:vertAlign w:val="superscript"/>
        </w:rPr>
        <w:t>(</w:t>
      </w:r>
      <w:r w:rsidR="00D11083">
        <w:rPr>
          <w:rStyle w:val="FootnoteReference"/>
        </w:rPr>
        <w:footnoteReference w:id="2"/>
      </w:r>
      <w:r w:rsidR="00D11083">
        <w:rPr>
          <w:vertAlign w:val="superscript"/>
        </w:rPr>
        <w:t>)</w:t>
      </w:r>
      <w:r w:rsidR="00D11083">
        <w:t xml:space="preserve">; </w:t>
      </w:r>
      <w:r w:rsidR="00D11083">
        <w:rPr>
          <w:lang w:val="sv-SE"/>
        </w:rPr>
        <w:t xml:space="preserve">cấp mã số vùng trồng được 26,6 ha </w:t>
      </w:r>
      <w:r w:rsidR="00D11083">
        <w:rPr>
          <w:i/>
          <w:lang w:val="sv-SE"/>
        </w:rPr>
        <w:t xml:space="preserve">(gồm Xoài và Sầu Riêng) </w:t>
      </w:r>
      <w:r w:rsidR="00D11083">
        <w:rPr>
          <w:lang w:val="sv-SE"/>
        </w:rPr>
        <w:t xml:space="preserve">trên địa bàn phường An Bình A; </w:t>
      </w:r>
      <w:r w:rsidR="00D11083">
        <w:t xml:space="preserve">ứng dụng công nghệ trong phục vụ sản xuất nông nghiệp </w:t>
      </w:r>
      <w:r w:rsidR="00D11083">
        <w:rPr>
          <w:i/>
          <w:iCs/>
        </w:rPr>
        <w:t>(như sử dụng thiết bị bay điều khiển từ xa để phun xịt thuốc bảo vệ thực vật, sạ phân, sạ lúa,…)</w:t>
      </w:r>
      <w:r w:rsidR="00D11083">
        <w:t>.</w:t>
      </w:r>
    </w:p>
    <w:p w:rsidR="00B36FD9" w:rsidRDefault="00D11083">
      <w:pPr>
        <w:spacing w:before="120" w:line="360" w:lineRule="exact"/>
        <w:ind w:firstLine="567"/>
        <w:jc w:val="both"/>
        <w:rPr>
          <w:rFonts w:eastAsia="Times New Roman"/>
          <w:b/>
          <w:lang w:eastAsia="en-US"/>
        </w:rPr>
      </w:pPr>
      <w:r>
        <w:rPr>
          <w:rFonts w:eastAsia="Times New Roman"/>
          <w:b/>
          <w:lang w:eastAsia="en-US"/>
        </w:rPr>
        <w:t>2. Quy hoạch, đầu tư xây dựng kết cấu hạ tầng đô thị, nông nghiệp</w:t>
      </w:r>
    </w:p>
    <w:p w:rsidR="00B36FD9" w:rsidRDefault="00D11083">
      <w:pPr>
        <w:spacing w:before="120" w:line="360" w:lineRule="exact"/>
        <w:ind w:firstLine="567"/>
        <w:jc w:val="both"/>
        <w:rPr>
          <w:rFonts w:eastAsia="Times New Roman"/>
          <w:lang w:eastAsia="en-US"/>
        </w:rPr>
      </w:pPr>
      <w:r>
        <w:rPr>
          <w:rFonts w:eastAsia="Times New Roman"/>
          <w:lang w:eastAsia="en-US"/>
        </w:rPr>
        <w:t>Để thực hiện Đề án có hiệu quả, Ban Thường vụ Thành uỷ đã xem xét cho ý kiến đối với kế hoạch phân kỳ đầu tư xây dựng kết cấu hạ tầng ở các khu sản xuất tập trung phù hợp với quy hoạch sử dụng đất, quy hoạch đô thị và định hướng phát triển nông nghiệp</w:t>
      </w:r>
      <w:r>
        <w:rPr>
          <w:rFonts w:eastAsia="Times New Roman"/>
          <w:lang w:val="vi-VN" w:eastAsia="en-US"/>
        </w:rPr>
        <w:t xml:space="preserve"> </w:t>
      </w:r>
      <w:r>
        <w:rPr>
          <w:rFonts w:eastAsia="Times New Roman"/>
          <w:lang w:eastAsia="en-US"/>
        </w:rPr>
        <w:t xml:space="preserve">của </w:t>
      </w:r>
      <w:r w:rsidR="00E27EA0">
        <w:rPr>
          <w:rFonts w:eastAsia="Times New Roman"/>
          <w:lang w:eastAsia="en-US"/>
        </w:rPr>
        <w:t>Uỷ</w:t>
      </w:r>
      <w:r>
        <w:rPr>
          <w:rFonts w:eastAsia="Times New Roman"/>
          <w:lang w:eastAsia="en-US"/>
        </w:rPr>
        <w:t xml:space="preserve"> ban nhân dân Thành phố, nhằm </w:t>
      </w:r>
      <w:r>
        <w:rPr>
          <w:rFonts w:eastAsia="Times New Roman"/>
          <w:lang w:val="vi-VN" w:eastAsia="en-US"/>
        </w:rPr>
        <w:t xml:space="preserve">đảm bảo </w:t>
      </w:r>
      <w:r>
        <w:rPr>
          <w:rFonts w:eastAsia="Times New Roman"/>
          <w:lang w:eastAsia="en-US"/>
        </w:rPr>
        <w:t xml:space="preserve">các </w:t>
      </w:r>
      <w:r>
        <w:rPr>
          <w:rFonts w:eastAsia="Times New Roman"/>
          <w:lang w:val="vi-VN" w:eastAsia="en-US"/>
        </w:rPr>
        <w:t xml:space="preserve">yếu tố </w:t>
      </w:r>
      <w:r>
        <w:rPr>
          <w:rFonts w:eastAsia="Times New Roman"/>
          <w:lang w:eastAsia="en-US"/>
        </w:rPr>
        <w:t xml:space="preserve">về </w:t>
      </w:r>
      <w:r>
        <w:rPr>
          <w:rFonts w:eastAsia="Times New Roman"/>
          <w:lang w:val="vi-VN" w:eastAsia="en-US"/>
        </w:rPr>
        <w:t xml:space="preserve">bảo vệ cảnh quan, môi trường, tính liên kết giữa các địa phương, </w:t>
      </w:r>
      <w:r>
        <w:rPr>
          <w:rFonts w:eastAsia="Times New Roman"/>
          <w:lang w:eastAsia="en-US"/>
        </w:rPr>
        <w:t xml:space="preserve">hình thành </w:t>
      </w:r>
      <w:r>
        <w:rPr>
          <w:rFonts w:eastAsia="Times New Roman"/>
          <w:lang w:val="vi-VN" w:eastAsia="en-US"/>
        </w:rPr>
        <w:t xml:space="preserve">vùng </w:t>
      </w:r>
      <w:r>
        <w:rPr>
          <w:rFonts w:eastAsia="Times New Roman"/>
          <w:lang w:eastAsia="en-US"/>
        </w:rPr>
        <w:t>sản xuất</w:t>
      </w:r>
      <w:r>
        <w:rPr>
          <w:rFonts w:eastAsia="Times New Roman"/>
          <w:lang w:val="vi-VN" w:eastAsia="en-US"/>
        </w:rPr>
        <w:t xml:space="preserve"> tập trung</w:t>
      </w:r>
      <w:r>
        <w:rPr>
          <w:rFonts w:eastAsia="Times New Roman"/>
          <w:lang w:eastAsia="en-US"/>
        </w:rPr>
        <w:t xml:space="preserve"> ứng dụng công nghệ cao,</w:t>
      </w:r>
      <w:r>
        <w:rPr>
          <w:rFonts w:eastAsia="Times New Roman"/>
          <w:lang w:val="vi-VN" w:eastAsia="en-US"/>
        </w:rPr>
        <w:t xml:space="preserve"> tạo thành vùng nguyên liệu phục vụ </w:t>
      </w:r>
      <w:r>
        <w:rPr>
          <w:rFonts w:eastAsia="Times New Roman"/>
          <w:lang w:eastAsia="en-US"/>
        </w:rPr>
        <w:t xml:space="preserve">cho </w:t>
      </w:r>
      <w:r>
        <w:rPr>
          <w:rFonts w:eastAsia="Times New Roman"/>
          <w:lang w:val="vi-VN" w:eastAsia="en-US"/>
        </w:rPr>
        <w:t xml:space="preserve">chế biến nông sản, thúc đẩy phát triển </w:t>
      </w:r>
      <w:r>
        <w:rPr>
          <w:rFonts w:eastAsia="Times New Roman"/>
          <w:lang w:eastAsia="en-US"/>
        </w:rPr>
        <w:t xml:space="preserve">sản phẩm </w:t>
      </w:r>
      <w:r>
        <w:rPr>
          <w:rFonts w:eastAsia="Times New Roman"/>
          <w:lang w:val="vi-VN" w:eastAsia="en-US"/>
        </w:rPr>
        <w:t>công nghiệp nông thôn</w:t>
      </w:r>
      <w:r>
        <w:rPr>
          <w:rFonts w:eastAsia="Times New Roman"/>
          <w:lang w:eastAsia="en-US"/>
        </w:rPr>
        <w:t xml:space="preserve"> địa phương. </w:t>
      </w:r>
      <w:r>
        <w:t xml:space="preserve">Kế hoạch thực hiện đề án Tái cơ cấu nông nghiệp thành phố Hồng Ngự giai đoạn 2021 - 2025, tầm nhìn đến năm 2030, tiếp tục tập trung phát triển 04 ngành hàng chủ lực gắn liền với địa danh Hồng Ngự gồm </w:t>
      </w:r>
      <w:r>
        <w:rPr>
          <w:i/>
        </w:rPr>
        <w:t>“lúa, cá tra, lươn, cây ăn trái”</w:t>
      </w:r>
      <w:r>
        <w:t>,</w:t>
      </w:r>
      <w:r>
        <w:rPr>
          <w:b/>
          <w:i/>
        </w:rPr>
        <w:t xml:space="preserve"> </w:t>
      </w:r>
      <w:r>
        <w:t xml:space="preserve">tùy theo điều kiện tự nhiên của từng xã - phường mà xây dựng kế hoạch phát triển cho phù hợp. Đến nay, cả 04 ngành hàng đều phát triển sản xuất tập trung hướng tới quy mô lớn, gắn với liên kết tiêu thụ, đồng thời ứng dụng những tiến bộ khoa học kỹ thuật để tạo hiệu quả kinh tế cao. Tuy nhiên, thời gian qua do còn ảnh hưởng của dịch COVID-19 và nhiều yếu tố khác đã làm cho quá trình sản xuất gặp nhiều khó khăn, giá bán các loại vật tư nông nghiệp tăng cao </w:t>
      </w:r>
      <w:r>
        <w:rPr>
          <w:i/>
        </w:rPr>
        <w:t xml:space="preserve">(tăng từ 60-250%) </w:t>
      </w:r>
      <w:r>
        <w:t>so với cùng kỳ nhiều năm, trong khi giá bán nhiều loại nông sản thường xuyên duy trì ở mức thấp, dẫn đến một số loại hình sản xuất nông nghiệp không có lãi hoặc lãi thấp.</w:t>
      </w:r>
    </w:p>
    <w:p w:rsidR="00B36FD9" w:rsidRDefault="00D11083">
      <w:pPr>
        <w:spacing w:before="120" w:line="360" w:lineRule="exact"/>
        <w:ind w:firstLine="567"/>
        <w:jc w:val="both"/>
        <w:rPr>
          <w:shd w:val="clear" w:color="auto" w:fill="FFFFFF"/>
          <w:lang w:val="es-MX"/>
        </w:rPr>
      </w:pPr>
      <w:r>
        <w:t xml:space="preserve">Thành phố tập trung xây dựng Kế hoạch vùng sản xuất nông nghiệp hữu cơ giai đoạn 2021-2025, định hướng đến năm 2030 để </w:t>
      </w:r>
      <w:r>
        <w:rPr>
          <w:lang w:val="es-MX"/>
        </w:rPr>
        <w:t>phát triển nền nông nghiệp hữu cơ có giá trị gia tăng cao, bền vững, thân thiện với môi trường sinh thái, gắn với kinh tế nông nghiệp tuần hoàn phục vụ tiêu dùng trong Thành phố, Tỉnh và xuất khẩu. Vùng sản xuất nông nghiệp hữu cơ được xây dựng dựa trên điều kiện tự nhiên, cũng như nhu cầu phát triển của từng địa phương, tập trung sản xuất những đối tượng có giá trị kinh tế cao, thị trường tiêu thụ rộng, dễ tiêu thụ, phù hợp với các nội dung của Quyết định số 885/QĐ-TTg ngày 23/6/2020 của Thủ tướng Chính phủ</w:t>
      </w:r>
      <w:r>
        <w:rPr>
          <w:rFonts w:ascii="Arial" w:hAnsi="Arial" w:cs="Arial"/>
          <w:sz w:val="21"/>
          <w:szCs w:val="21"/>
          <w:shd w:val="clear" w:color="auto" w:fill="FFFFFF"/>
          <w:lang w:val="es-MX"/>
        </w:rPr>
        <w:t xml:space="preserve"> </w:t>
      </w:r>
      <w:r>
        <w:rPr>
          <w:shd w:val="clear" w:color="auto" w:fill="FFFFFF"/>
          <w:lang w:val="es-MX"/>
        </w:rPr>
        <w:t>về phê duyệt Đề án phát triển nông nghiệp hữu cơ giai đoạn 2020 - 2030 và định hướng của Tỉnh.</w:t>
      </w:r>
    </w:p>
    <w:p w:rsidR="00B36FD9" w:rsidRDefault="00D11083">
      <w:pPr>
        <w:spacing w:before="120" w:line="360" w:lineRule="exact"/>
        <w:ind w:firstLine="567"/>
        <w:jc w:val="both"/>
        <w:rPr>
          <w:rFonts w:eastAsia="Times New Roman"/>
          <w:b/>
          <w:bCs/>
          <w:iCs/>
          <w:lang w:eastAsia="en-US"/>
        </w:rPr>
      </w:pPr>
      <w:r>
        <w:rPr>
          <w:rFonts w:eastAsia="Times New Roman"/>
          <w:b/>
          <w:bCs/>
          <w:iCs/>
          <w:lang w:eastAsia="en-US"/>
        </w:rPr>
        <w:t>3. Tăng cường hợp tác với các địa phương trong và ngoài Thành phố; đẩy mạnh mời gọi đầu tư, liên kết hợp tác, ứng dụng khoa học công nghệ vào sản xuất</w:t>
      </w:r>
    </w:p>
    <w:p w:rsidR="00B36FD9" w:rsidRDefault="00D11083">
      <w:pPr>
        <w:spacing w:before="120" w:line="360" w:lineRule="exact"/>
        <w:ind w:firstLine="567"/>
        <w:jc w:val="both"/>
        <w:rPr>
          <w:rFonts w:eastAsia="Times New Roman"/>
          <w:spacing w:val="-4"/>
          <w:lang w:eastAsia="en-US"/>
        </w:rPr>
      </w:pPr>
      <w:r>
        <w:rPr>
          <w:rFonts w:eastAsia="Times New Roman"/>
          <w:spacing w:val="-4"/>
          <w:lang w:eastAsia="en-US"/>
        </w:rPr>
        <w:t>Thành phố luôn quan tâm tạo điều kiện để doanh nghiệp trong và ngoài Thành phố thực hiện liên kết sản xuất, thúc đẩy liên kết để hình thành các hợp tác xã, tổ hợp tác theo ngành nghề, góp phần hiện đại hoá sản xuất nông nghiệp, hướng đến nền nông nghiệp hiện đại, an toàn, chất lượng và cạnh tranh trên thị trường. Thành phố đã tổ chức cho bà con nông dân trồng hoa kiểng trên địa bàn phường An Bình B tham quan học tập kinh nghiệm các mô hình trồng hoa kiểng ở thành phố Sa Đéc; qua đó giúp cho bà con nâng cao kiến thức trong việc trồng hoa kiểng, mở rộng hợp tác liên kết, sản xuất và tiêu thụ sản phẩm của địa phương với thành phố Sa Đéc; đồng thời, thành phố Sa Đéc có nhu cầu cung cấp giống hoa kiểng cho nông dân trồng hoa kiểng tại thành phố Hồng Ngự và bao tiêu đầu ra cho nông dân; bên cạnh đó thành phố Sa Đéc cũng đề nghị bà con nông dân thành phố Hồng Ngự hỗ trợ cung cấp nguồn phân rơm hoai mục, phân bò,... để phục vụ nhu cầu sản xuất hoa kiểng trên địa bàn thành phố Sa Đéc.</w:t>
      </w:r>
    </w:p>
    <w:p w:rsidR="00B36FD9" w:rsidRDefault="00D11083">
      <w:pPr>
        <w:spacing w:before="120" w:line="360" w:lineRule="exact"/>
        <w:ind w:firstLine="567"/>
        <w:jc w:val="both"/>
        <w:rPr>
          <w:rFonts w:eastAsia="Times New Roman"/>
          <w:spacing w:val="-4"/>
          <w:lang w:eastAsia="en-US"/>
        </w:rPr>
      </w:pPr>
      <w:r>
        <w:rPr>
          <w:rFonts w:eastAsia="Times New Roman"/>
          <w:b/>
          <w:spacing w:val="-4"/>
          <w:lang w:eastAsia="en-US"/>
        </w:rPr>
        <w:t>4.</w:t>
      </w:r>
      <w:r>
        <w:rPr>
          <w:rFonts w:eastAsia="Times New Roman"/>
          <w:spacing w:val="-4"/>
          <w:lang w:eastAsia="en-US"/>
        </w:rPr>
        <w:t xml:space="preserve"> </w:t>
      </w:r>
      <w:r>
        <w:rPr>
          <w:rFonts w:eastAsia="Times New Roman"/>
          <w:b/>
          <w:lang w:eastAsia="en-US"/>
        </w:rPr>
        <w:t>Đẩy mạnh ứng dụng công nghệ cao nói riêng và tiến bộ khoa học công nghệ nói chung</w:t>
      </w:r>
    </w:p>
    <w:p w:rsidR="00B36FD9" w:rsidRDefault="00D11083">
      <w:pPr>
        <w:spacing w:before="120" w:line="360" w:lineRule="exact"/>
        <w:ind w:firstLine="567"/>
        <w:jc w:val="both"/>
        <w:rPr>
          <w:rFonts w:eastAsia="Times New Roman"/>
          <w:lang w:eastAsia="en-US"/>
        </w:rPr>
      </w:pPr>
      <w:r>
        <w:rPr>
          <w:rFonts w:eastAsia="Times New Roman"/>
          <w:lang w:eastAsia="en-US"/>
        </w:rPr>
        <w:t xml:space="preserve">Thời gian qua các cấp uỷ, chính quyền Thành phố luôn quan tâm đẩy mạnh ứng dụng tiến bộ khoa học công nghệ vào trong sản xuất nhằm tạo ra sản phẩm có giá trị cao, tăng năng suất, sản lượng, giảm giá thành, tăng lợi nhuận phù hợp với loại hình phát triển nông nghiệp đô thị. Hiện tại, trên địa bàn Thành phố đã có nhiều mô hình ứng dụng công nghệ cao được thực hiện như: Mô hình trồng nấm rơm, nấm mối, dưa lưới trong nhà kính; mô hình ươm hoa kiểng, giống hoa màu trong nhà màng; mô hình ương nuôi lươn theo quy trình tuần hoàn nước, tuần hoàn ứng dụng công nghệ cao, ... đây đều là những mô hình nông nghiệp phù hợp với loại hình phát triển nông nghiệp đô thị; các mô hình này đang được tiếp tục phát triển và nhân rộng. </w:t>
      </w:r>
    </w:p>
    <w:p w:rsidR="00B36FD9" w:rsidRDefault="00D11083">
      <w:pPr>
        <w:spacing w:before="120" w:line="360" w:lineRule="exact"/>
        <w:ind w:firstLine="567"/>
        <w:jc w:val="both"/>
        <w:rPr>
          <w:rFonts w:eastAsia="Times New Roman"/>
          <w:b/>
          <w:lang w:eastAsia="en-US"/>
        </w:rPr>
      </w:pPr>
      <w:r>
        <w:rPr>
          <w:rFonts w:eastAsia="Times New Roman"/>
          <w:b/>
          <w:lang w:eastAsia="en-US"/>
        </w:rPr>
        <w:t>5. Đào tạo và sử dụng có hiệu quả cao nguồn nhân lực, đặc biệt là nguồn nhân lực phục vụ nhu cầu phát triển nông nghiệp đô thị</w:t>
      </w:r>
    </w:p>
    <w:p w:rsidR="00B36FD9" w:rsidRDefault="00D11083">
      <w:pPr>
        <w:spacing w:before="120" w:line="360" w:lineRule="exact"/>
        <w:ind w:firstLine="567"/>
        <w:jc w:val="both"/>
        <w:rPr>
          <w:rFonts w:eastAsia="Times New Roman"/>
          <w:lang w:eastAsia="en-US"/>
        </w:rPr>
      </w:pPr>
      <w:r>
        <w:rPr>
          <w:rFonts w:eastAsia="Times New Roman"/>
          <w:lang w:eastAsia="en-US"/>
        </w:rPr>
        <w:t xml:space="preserve">Thường xuyên quan tâm đào tạo, bồi dưỡng, chuyên môn, nghiệp vụ cho các cán bộ, công chức, viên chức về lĩnh vực nông nghiệp đô thị; qua đó tạo điều kiện cho cán bộ chuyên môn các cấp tham gia những lớp đào tạo, tập huấn do các sở, ngành Tỉnh tổ chức; đồng thời, các ngành chuyên môn Thành phố cũng đã tạo điều kiện cho bà con nông dân và cán bộ quản lý tham quan, học tập kinh nghiệm tại các địa phương có nhiều mô hình nông nghiệp đô thị phát triển như: Cần Thơ </w:t>
      </w:r>
      <w:r>
        <w:rPr>
          <w:rFonts w:eastAsia="Times New Roman"/>
          <w:i/>
          <w:lang w:eastAsia="en-US"/>
        </w:rPr>
        <w:t>(mô hình nuôi lươn tuần hoàn; mô hình trồng rau th</w:t>
      </w:r>
      <w:r w:rsidR="00E27EA0">
        <w:rPr>
          <w:rFonts w:eastAsia="Times New Roman"/>
          <w:i/>
          <w:lang w:eastAsia="en-US"/>
        </w:rPr>
        <w:t>uỷ</w:t>
      </w:r>
      <w:r>
        <w:rPr>
          <w:rFonts w:eastAsia="Times New Roman"/>
          <w:i/>
          <w:lang w:eastAsia="en-US"/>
        </w:rPr>
        <w:t xml:space="preserve"> canh trong nhà kính)</w:t>
      </w:r>
      <w:r>
        <w:rPr>
          <w:rFonts w:eastAsia="Times New Roman"/>
          <w:lang w:eastAsia="en-US"/>
        </w:rPr>
        <w:t xml:space="preserve">; Hậu Giang </w:t>
      </w:r>
      <w:r>
        <w:rPr>
          <w:rFonts w:eastAsia="Times New Roman"/>
          <w:i/>
          <w:lang w:eastAsia="en-US"/>
        </w:rPr>
        <w:t>(mô hình sản xuất giống, ương nuôi lươn; mô hình nuôi baba, cua đinh)</w:t>
      </w:r>
      <w:r>
        <w:rPr>
          <w:rFonts w:eastAsia="Times New Roman"/>
          <w:lang w:eastAsia="en-US"/>
        </w:rPr>
        <w:t xml:space="preserve">; Vĩnh Long </w:t>
      </w:r>
      <w:r>
        <w:rPr>
          <w:rFonts w:eastAsia="Times New Roman"/>
          <w:i/>
          <w:lang w:eastAsia="en-US"/>
        </w:rPr>
        <w:t>(mô hình sản xuất giống, ương nuôi lươn)</w:t>
      </w:r>
      <w:r>
        <w:rPr>
          <w:rFonts w:eastAsia="Times New Roman"/>
          <w:lang w:eastAsia="en-US"/>
        </w:rPr>
        <w:t xml:space="preserve">; huyện Châu Thành, huyện Tháp Mười </w:t>
      </w:r>
      <w:r>
        <w:rPr>
          <w:rFonts w:eastAsia="Times New Roman"/>
          <w:i/>
          <w:lang w:eastAsia="en-US"/>
        </w:rPr>
        <w:t>(mô hình nuôi cua đinh)</w:t>
      </w:r>
      <w:r>
        <w:rPr>
          <w:rFonts w:eastAsia="Times New Roman"/>
          <w:lang w:eastAsia="en-US"/>
        </w:rPr>
        <w:t xml:space="preserve">; thành phố Sa Đéc </w:t>
      </w:r>
      <w:r>
        <w:rPr>
          <w:rFonts w:eastAsia="Times New Roman"/>
          <w:i/>
          <w:iCs/>
          <w:lang w:eastAsia="en-US"/>
        </w:rPr>
        <w:t>(mô hình trồng hoa kiểng)</w:t>
      </w:r>
      <w:r>
        <w:rPr>
          <w:rFonts w:eastAsia="Times New Roman"/>
          <w:lang w:eastAsia="en-US"/>
        </w:rPr>
        <w:t>.</w:t>
      </w:r>
    </w:p>
    <w:p w:rsidR="00B36FD9" w:rsidRDefault="00D11083">
      <w:pPr>
        <w:spacing w:before="120" w:line="360" w:lineRule="exact"/>
        <w:ind w:firstLine="567"/>
        <w:jc w:val="both"/>
        <w:rPr>
          <w:rFonts w:eastAsia="Times New Roman"/>
          <w:b/>
          <w:lang w:eastAsia="en-US"/>
        </w:rPr>
      </w:pPr>
      <w:r>
        <w:rPr>
          <w:rFonts w:eastAsia="Times New Roman"/>
          <w:b/>
          <w:lang w:eastAsia="en-US"/>
        </w:rPr>
        <w:t xml:space="preserve">6. Về nguồn vốn đầu tư </w:t>
      </w:r>
    </w:p>
    <w:p w:rsidR="00B36FD9" w:rsidRDefault="00D11083">
      <w:pPr>
        <w:spacing w:before="120" w:line="360" w:lineRule="exact"/>
        <w:ind w:firstLine="567"/>
        <w:jc w:val="both"/>
        <w:rPr>
          <w:lang w:val="es-MX"/>
        </w:rPr>
      </w:pPr>
      <w:r>
        <w:rPr>
          <w:rFonts w:eastAsia="Times New Roman"/>
          <w:lang w:eastAsia="en-US"/>
        </w:rPr>
        <w:t xml:space="preserve">Thực hiện Đề án phát triển nông nghiệp đô thị thành phố Hồng Ngự đến năm 2030 vừa được triển khai trong năm 2023, nguồn vốn thực hiện chủ yếu từ ngân sách Tỉnh là chính </w:t>
      </w:r>
      <w:r>
        <w:rPr>
          <w:rFonts w:eastAsia="Times New Roman"/>
          <w:i/>
          <w:lang w:eastAsia="en-US"/>
        </w:rPr>
        <w:t>(hiện Thành phố đang chờ phân bổ kinh phí để đầu tư xây dựng cơ sở, hạ tầng phục vụ loại hình phát triển nông nghiệp đô thị)</w:t>
      </w:r>
      <w:r>
        <w:rPr>
          <w:rFonts w:eastAsia="Times New Roman"/>
          <w:lang w:eastAsia="en-US"/>
        </w:rPr>
        <w:t xml:space="preserve">; đồng thời, </w:t>
      </w:r>
      <w:r>
        <w:t xml:space="preserve">Uỷ ban nhân dân Thành phố chỉ đạo </w:t>
      </w:r>
      <w:r>
        <w:rPr>
          <w:lang w:val="es-MX"/>
        </w:rPr>
        <w:t>các ngành chuyên môn Thành phố và các xã - phường triển khai thực hiện các mô hình khuyến nông, mô hình nông nghiệp mang lại hiệu quả kinh tế cao nhưng vẫn phù hợp với những hộ gia đình. Qua đó đã tạo điều kiện về vốn và hỗ trợ một phần con giống, vật tư cho những mô hình mà người dân đăng ký tham gia thực hiện đều được Thành phố xem xét, hỗ trợ theo quy định pháp luật hiện hành</w:t>
      </w:r>
      <w:r>
        <w:rPr>
          <w:vertAlign w:val="superscript"/>
          <w:lang w:val="es-MX"/>
        </w:rPr>
        <w:t>(</w:t>
      </w:r>
      <w:r>
        <w:rPr>
          <w:rStyle w:val="FootnoteReference"/>
          <w:lang w:val="es-MX"/>
        </w:rPr>
        <w:footnoteReference w:id="3"/>
      </w:r>
      <w:r>
        <w:rPr>
          <w:vertAlign w:val="superscript"/>
          <w:lang w:val="es-MX"/>
        </w:rPr>
        <w:t>)</w:t>
      </w:r>
      <w:r>
        <w:rPr>
          <w:lang w:val="es-MX"/>
        </w:rPr>
        <w:t>, nhằm khuyến khích và tạo điều kiện cho người dân có điều kiện phát triển kinh tế, giúp gia tăng thu nhập cho gia đình và phù hợp với loại hình phát triển nông nghiệp đô thị hiện nay, đồng thời làm giảm được tình trạng người dân nghèo, ít đất sản xuất bỏ xứ đi làm thuê ở TP. Hồ Chí Minh, Bình Dương, Đồng Nai,… như những năm trước nhưng vẫn đảm bảo điều kiện phát triển kinh tế gia đình.</w:t>
      </w:r>
    </w:p>
    <w:p w:rsidR="00B36FD9" w:rsidRDefault="00D11083">
      <w:pPr>
        <w:spacing w:before="120" w:line="360" w:lineRule="exact"/>
        <w:ind w:firstLine="567"/>
        <w:jc w:val="both"/>
        <w:rPr>
          <w:rFonts w:eastAsia="Times New Roman"/>
          <w:b/>
          <w:lang w:val="vi-VN" w:eastAsia="en-US"/>
        </w:rPr>
      </w:pPr>
      <w:r>
        <w:rPr>
          <w:rFonts w:eastAsia="Times New Roman"/>
          <w:b/>
          <w:lang w:eastAsia="en-US"/>
        </w:rPr>
        <w:t xml:space="preserve">7. </w:t>
      </w:r>
      <w:r>
        <w:rPr>
          <w:rFonts w:eastAsia="Times New Roman"/>
          <w:b/>
          <w:lang w:val="vi-VN" w:eastAsia="en-US"/>
        </w:rPr>
        <w:t>Đẩy mạnh công tác thông tin, tuyên truyền, vận động</w:t>
      </w:r>
    </w:p>
    <w:p w:rsidR="00B36FD9" w:rsidRDefault="00D11083">
      <w:pPr>
        <w:spacing w:before="120" w:line="360" w:lineRule="exact"/>
        <w:ind w:firstLine="567"/>
        <w:jc w:val="both"/>
        <w:rPr>
          <w:rFonts w:eastAsia="Times New Roman"/>
          <w:lang w:val="nb-NO" w:eastAsia="en-US"/>
        </w:rPr>
      </w:pPr>
      <w:r>
        <w:rPr>
          <w:rFonts w:eastAsia="Times New Roman"/>
          <w:lang w:val="nb-NO" w:eastAsia="en-US"/>
        </w:rPr>
        <w:t xml:space="preserve">Thường xuyên lãnh đạo, chỉ đạo các cấp </w:t>
      </w:r>
      <w:r w:rsidR="00E27EA0">
        <w:rPr>
          <w:rFonts w:eastAsia="Times New Roman"/>
          <w:lang w:val="nb-NO" w:eastAsia="en-US"/>
        </w:rPr>
        <w:t>uỷ</w:t>
      </w:r>
      <w:r>
        <w:rPr>
          <w:rFonts w:eastAsia="Times New Roman"/>
          <w:lang w:val="nb-NO" w:eastAsia="en-US"/>
        </w:rPr>
        <w:t xml:space="preserve">, chính quyền, Mặt trận Tổ quốc và các tổ chức chính trị - xã hội Thành phố và các xã - phường đẩy mạnh công tác </w:t>
      </w:r>
      <w:r>
        <w:rPr>
          <w:rFonts w:eastAsia="Times New Roman"/>
          <w:lang w:eastAsia="en-US"/>
        </w:rPr>
        <w:t>tuyên truyền bằng nhiều hình thức trong đoàn viên, hội viên và</w:t>
      </w:r>
      <w:r>
        <w:rPr>
          <w:rFonts w:eastAsia="Times New Roman"/>
          <w:bCs/>
          <w:lang w:val="vi-VN" w:eastAsia="en-US"/>
        </w:rPr>
        <w:t xml:space="preserve"> </w:t>
      </w:r>
      <w:r>
        <w:rPr>
          <w:rFonts w:eastAsia="Times New Roman"/>
          <w:bCs/>
          <w:lang w:eastAsia="en-US"/>
        </w:rPr>
        <w:t>N</w:t>
      </w:r>
      <w:r>
        <w:rPr>
          <w:rFonts w:eastAsia="Times New Roman"/>
          <w:bCs/>
          <w:lang w:val="vi-VN" w:eastAsia="en-US"/>
        </w:rPr>
        <w:t>hân dân</w:t>
      </w:r>
      <w:r>
        <w:rPr>
          <w:rFonts w:eastAsia="Times New Roman"/>
          <w:bCs/>
          <w:lang w:eastAsia="en-US"/>
        </w:rPr>
        <w:t xml:space="preserve"> nắm và</w:t>
      </w:r>
      <w:r>
        <w:rPr>
          <w:rFonts w:eastAsia="Times New Roman"/>
          <w:bCs/>
          <w:lang w:val="vi-VN" w:eastAsia="en-US"/>
        </w:rPr>
        <w:t xml:space="preserve"> hiểu </w:t>
      </w:r>
      <w:r>
        <w:rPr>
          <w:rFonts w:eastAsia="Times New Roman"/>
          <w:bCs/>
          <w:lang w:eastAsia="en-US"/>
        </w:rPr>
        <w:t>rõ hơn mục đích,</w:t>
      </w:r>
      <w:r>
        <w:rPr>
          <w:rFonts w:eastAsia="Times New Roman"/>
          <w:bCs/>
          <w:lang w:val="vi-VN" w:eastAsia="en-US"/>
        </w:rPr>
        <w:t xml:space="preserve"> ý nghĩa, tầm quan trọng của </w:t>
      </w:r>
      <w:r>
        <w:rPr>
          <w:rFonts w:eastAsia="Times New Roman"/>
          <w:bCs/>
          <w:lang w:eastAsia="en-US"/>
        </w:rPr>
        <w:t>phát triển</w:t>
      </w:r>
      <w:r>
        <w:rPr>
          <w:rFonts w:eastAsia="Times New Roman"/>
          <w:bCs/>
          <w:lang w:val="vi-VN" w:eastAsia="en-US"/>
        </w:rPr>
        <w:t xml:space="preserve"> nông nghiệp </w:t>
      </w:r>
      <w:r>
        <w:rPr>
          <w:rFonts w:eastAsia="Times New Roman"/>
          <w:bCs/>
          <w:lang w:eastAsia="en-US"/>
        </w:rPr>
        <w:t>đô thị</w:t>
      </w:r>
      <w:r>
        <w:rPr>
          <w:rFonts w:eastAsia="Times New Roman"/>
          <w:bCs/>
          <w:lang w:val="vi-VN" w:eastAsia="en-US"/>
        </w:rPr>
        <w:t xml:space="preserve">, từ đó có sự đồng </w:t>
      </w:r>
      <w:r>
        <w:rPr>
          <w:rFonts w:eastAsia="Times New Roman"/>
          <w:bCs/>
          <w:lang w:eastAsia="en-US"/>
        </w:rPr>
        <w:t xml:space="preserve">tình </w:t>
      </w:r>
      <w:r>
        <w:rPr>
          <w:rFonts w:eastAsia="Times New Roman"/>
          <w:bCs/>
          <w:lang w:val="vi-VN" w:eastAsia="en-US"/>
        </w:rPr>
        <w:t xml:space="preserve">chung sức thực hiện </w:t>
      </w:r>
      <w:r>
        <w:rPr>
          <w:rFonts w:eastAsia="Times New Roman"/>
          <w:bCs/>
          <w:lang w:eastAsia="en-US"/>
        </w:rPr>
        <w:t>và nhân rộng. Đồng thời, làm thay đổi tư duy của người dân từ sản xuất nông nghiệp sang làm kinh tế nông nghiệp nhưng phù hợp với loại hình đô thị hóa ngày nay v</w:t>
      </w:r>
      <w:r w:rsidR="00722113">
        <w:rPr>
          <w:rFonts w:eastAsia="Times New Roman"/>
          <w:bCs/>
          <w:lang w:eastAsia="en-US"/>
        </w:rPr>
        <w:t>à phù hợp chủ trương của đảng, N</w:t>
      </w:r>
      <w:r>
        <w:rPr>
          <w:rFonts w:eastAsia="Times New Roman"/>
          <w:bCs/>
          <w:lang w:eastAsia="en-US"/>
        </w:rPr>
        <w:t>hà nước trong phát triển kinh tế đô thị.</w:t>
      </w:r>
    </w:p>
    <w:p w:rsidR="00B36FD9" w:rsidRDefault="00D11083">
      <w:pPr>
        <w:spacing w:before="120" w:line="360" w:lineRule="exact"/>
        <w:ind w:firstLine="567"/>
        <w:jc w:val="both"/>
        <w:rPr>
          <w:b/>
        </w:rPr>
      </w:pPr>
      <w:r>
        <w:rPr>
          <w:b/>
        </w:rPr>
        <w:t>III- ĐÁNH GIÁ CHUNG</w:t>
      </w:r>
    </w:p>
    <w:p w:rsidR="00B36FD9" w:rsidRDefault="00D11083">
      <w:pPr>
        <w:spacing w:before="120" w:line="360" w:lineRule="exact"/>
        <w:ind w:firstLine="567"/>
        <w:jc w:val="both"/>
        <w:rPr>
          <w:b/>
        </w:rPr>
      </w:pPr>
      <w:r>
        <w:rPr>
          <w:b/>
        </w:rPr>
        <w:t>1. Ưu điểm</w:t>
      </w:r>
    </w:p>
    <w:p w:rsidR="00B36FD9" w:rsidRDefault="00D11083">
      <w:pPr>
        <w:spacing w:before="120" w:line="360" w:lineRule="exact"/>
        <w:ind w:firstLine="567"/>
        <w:jc w:val="both"/>
      </w:pPr>
      <w:r>
        <w:t xml:space="preserve">Ban Thường vụ Thành uỷ thường xuyên quan tâm lãnh đạo, chỉ đạo các cấp </w:t>
      </w:r>
      <w:r w:rsidR="00E27EA0">
        <w:t>uỷ</w:t>
      </w:r>
      <w:r>
        <w:t>, tổ chức đảng, các ngành, và các xã - phường tích cực triển khai, quán triệt thực hiện nghiêm túc, đầy đủ Chương trình hành động số 16-CTr/TU của Ban Chấp hành Đảng bộ Thành phố, nhất là sự quyết tâm, chung sức đồng lòng của cả hệ thống chính trị cùng sự hưởng ứng tích cực của Nhân dân trong việc thực hiện. Mặt khác, việc phát triển nông nghiệp theo hướng nông nghiệp đô thị sẽ tạo điều kiện cho những hộ gia đình vùng ven Thành phố đều có cơ hội phát triển kinh tế, giúp gia tăng thu nhập, góp phần cải thiện đời sống vật chất, tinh thần của người dân; sản phẩm sản xuất theo hướng chất lượng, an toàn vệ sinh thực phẩm nên đáp ứng được nhu cầu của người tiêu dùng, giá bán cao; cải thiện cảnh quan đô thị, góp phần giảm thiểu ô nhiễm môi trường, ổn định môi trường sinh thái phát triển nông nghiệp bền vững.</w:t>
      </w:r>
    </w:p>
    <w:p w:rsidR="00B36FD9" w:rsidRDefault="00D11083">
      <w:pPr>
        <w:spacing w:before="120" w:line="360" w:lineRule="exact"/>
        <w:ind w:firstLine="567"/>
        <w:jc w:val="both"/>
        <w:rPr>
          <w:b/>
        </w:rPr>
      </w:pPr>
      <w:r>
        <w:rPr>
          <w:b/>
        </w:rPr>
        <w:t>2. Hạn chế</w:t>
      </w:r>
    </w:p>
    <w:p w:rsidR="00B36FD9" w:rsidRDefault="00D11083">
      <w:pPr>
        <w:spacing w:before="120" w:line="360" w:lineRule="exact"/>
        <w:ind w:firstLine="567"/>
        <w:jc w:val="both"/>
      </w:pPr>
      <w:r>
        <w:t xml:space="preserve">Một vài cấp uỷ, xã - phường triển khai thực hiện việc phát triển nông nghiệp đô thị trên địa bàn còn chậm. Quy mô sản xuất nông nghiệp trên địa bàn Thành phố còn nhỏ lẻ, phân tán; chất lượng sản phẩm nông nghiệp chưa cao và chưa tạo được uy tín, thương hiệu, lòng tin đối với người tiêu dùng. Chuyển dịch phát triển nông nghiệp theo hướng nông nghiệp đô thị trên địa bàn Thành phố còn chậm, thể hiện chưa rõ nét, còn phát triển theo kiểu truyền thống, tự phát thiếu tập trung chưa đáp ứng được yêu cầu. Liên kết trong sản xuất nông nghiệp từ khâu sản xuất đến khâu tiêu thụ còn hạn chế, </w:t>
      </w:r>
      <w:r>
        <w:rPr>
          <w:spacing w:val="4"/>
        </w:rPr>
        <w:t xml:space="preserve">đa số sản phẩm tiêu thụ qua thương lái, có điểm chung là sản phẩm từ khi được thu hoạch đến tay người tiêu dùng trải qua nhiều khâu trung gian. </w:t>
      </w:r>
      <w:r>
        <w:t>Vốn đầu tư cho nông nghiệp đô thị còn chiếm tỉ lệ nhỏ so với tổng nguồn vốn đầu tư của toàn Thành phố nhất là đầu tư hạ tầng nông nghiệp đô thị.</w:t>
      </w:r>
    </w:p>
    <w:p w:rsidR="00B36FD9" w:rsidRDefault="00D11083">
      <w:pPr>
        <w:spacing w:before="120" w:line="360" w:lineRule="exact"/>
        <w:ind w:firstLine="567"/>
        <w:jc w:val="both"/>
        <w:rPr>
          <w:b/>
        </w:rPr>
      </w:pPr>
      <w:r>
        <w:rPr>
          <w:b/>
        </w:rPr>
        <w:t>IV- NHIỆM VỤ TRỌNG TÂM TRONG THỜI GIAN TỚI</w:t>
      </w:r>
    </w:p>
    <w:p w:rsidR="00B36FD9" w:rsidRDefault="00D11083">
      <w:pPr>
        <w:spacing w:before="120" w:line="360" w:lineRule="exact"/>
        <w:ind w:firstLine="567"/>
        <w:jc w:val="both"/>
      </w:pPr>
      <w:r>
        <w:rPr>
          <w:b/>
        </w:rPr>
        <w:t>1.</w:t>
      </w:r>
      <w:r>
        <w:t xml:space="preserve"> Tiếp tục quán triệt, triển khai thực hiện tốt Chương trình hành động số 16-CTr/TU ngày 15 tháng 4 năm 2021 của Ban Chấp hành Đảng bộ Thành phố về phát triển nông nghiệp theo hướng nông nghiệp đô thị trên địa bàn Thành phố giai đoạn 2021 - 2025; đồng thời, điều chỉnh, bổ sung các nhiệm vụ, giải pháp cho phù hợp với tình hình mới.</w:t>
      </w:r>
    </w:p>
    <w:p w:rsidR="00B36FD9" w:rsidRDefault="00D11083">
      <w:pPr>
        <w:spacing w:before="120" w:line="360" w:lineRule="exact"/>
        <w:ind w:firstLine="567"/>
        <w:jc w:val="both"/>
      </w:pPr>
      <w:r>
        <w:rPr>
          <w:b/>
        </w:rPr>
        <w:t>2.</w:t>
      </w:r>
      <w:r>
        <w:t xml:space="preserve"> Cấp </w:t>
      </w:r>
      <w:r w:rsidR="00E27EA0">
        <w:t>uỷ</w:t>
      </w:r>
      <w:r>
        <w:t>, chính quyền, Mặt trận Tổ quốc và các tổ chức chính trị - xã hội tăng cường công tác thông tin, tuyên truyền, vận động người dân tích cực tham gia, từ đó có sự đồng tình chung sức thực hiện và nhân rộng. Đặc biệt tuyên truyền tri thức hóa nông dân, nhằm làm thay đổi tư duy sản xuất nông nghiệp đơn thuần sang tư duy làm kinh tế nông nghiệp.</w:t>
      </w:r>
    </w:p>
    <w:p w:rsidR="00B36FD9" w:rsidRDefault="00D11083">
      <w:pPr>
        <w:spacing w:before="120" w:line="360" w:lineRule="exact"/>
        <w:ind w:firstLine="567"/>
        <w:jc w:val="both"/>
      </w:pPr>
      <w:r>
        <w:rPr>
          <w:b/>
        </w:rPr>
        <w:t>3.</w:t>
      </w:r>
      <w:r>
        <w:t xml:space="preserve"> Quan tâm thực hiện quy hoạch, đầu tư xây dựng kết cấu hạ tầng đô thị, nông nghiệp; tăng cường hợp tác với các địa phương trong và ngoài Thành phố, đẩy mạnh mời gọi đầu tư, liên kết hợp tác, ứng dụng khoa học công nghệ vào sản xuất nông nghiệp. </w:t>
      </w:r>
    </w:p>
    <w:p w:rsidR="00B36FD9" w:rsidRDefault="00D11083">
      <w:pPr>
        <w:spacing w:before="120" w:line="360" w:lineRule="exact"/>
        <w:ind w:firstLine="567"/>
        <w:jc w:val="both"/>
        <w:rPr>
          <w:spacing w:val="-4"/>
        </w:rPr>
      </w:pPr>
      <w:r>
        <w:rPr>
          <w:b/>
        </w:rPr>
        <w:t>4.</w:t>
      </w:r>
      <w:r>
        <w:t xml:space="preserve"> Đẩy mạnh ứng dụng khoa học công nghệ cao và tiến bộ khoa học vào phát triển nông nghiệp đô thị; đào tạo và sử dụng có hiệu quả cao nguồn nhân lực, đặc biệt là nguồn nhân lực phục vụ nhu cầu phát triển nông nghiệp đô thị. Tranh thủ nguồn vốn của Trung ương, Tỉnh từ Chương trình, Đề án, các chủ trương, chính sách hỗ trợ về phát triển nông nghiệp. Khuyến khích các thành phần kinh tế tư nhân đầu tư vào lĩnh vực nông nghiệp, nông thôn theo chuỗi giá trị</w:t>
      </w:r>
      <w:r w:rsidR="006B1784">
        <w:rPr>
          <w:spacing w:val="-4"/>
        </w:rPr>
        <w:t>.</w:t>
      </w:r>
    </w:p>
    <w:p w:rsidR="00B36FD9" w:rsidRDefault="00B36FD9">
      <w:pPr>
        <w:spacing w:before="120" w:line="360" w:lineRule="exact"/>
        <w:ind w:firstLine="567"/>
        <w:jc w:val="both"/>
        <w:rPr>
          <w:spacing w:val="-4"/>
        </w:rPr>
      </w:pPr>
    </w:p>
    <w:tbl>
      <w:tblPr>
        <w:tblpPr w:leftFromText="180" w:rightFromText="180" w:vertAnchor="text" w:tblpX="182" w:tblpY="1"/>
        <w:tblOverlap w:val="never"/>
        <w:tblW w:w="9198" w:type="dxa"/>
        <w:tblLayout w:type="fixed"/>
        <w:tblLook w:val="04A0" w:firstRow="1" w:lastRow="0" w:firstColumn="1" w:lastColumn="0" w:noHBand="0" w:noVBand="1"/>
      </w:tblPr>
      <w:tblGrid>
        <w:gridCol w:w="5211"/>
        <w:gridCol w:w="3987"/>
      </w:tblGrid>
      <w:tr w:rsidR="00B36FD9">
        <w:tc>
          <w:tcPr>
            <w:tcW w:w="5211" w:type="dxa"/>
          </w:tcPr>
          <w:p w:rsidR="00B36FD9" w:rsidRDefault="00D11083">
            <w:pPr>
              <w:ind w:left="-108"/>
              <w:rPr>
                <w:rFonts w:eastAsia="Times New Roman"/>
                <w:u w:val="single"/>
                <w:lang w:eastAsia="en-US"/>
              </w:rPr>
            </w:pPr>
            <w:r>
              <w:rPr>
                <w:rFonts w:eastAsia="Times New Roman"/>
                <w:u w:val="single"/>
                <w:lang w:eastAsia="en-US"/>
              </w:rPr>
              <w:t>N</w:t>
            </w:r>
            <w:r>
              <w:rPr>
                <w:rFonts w:eastAsia="Times New Roman" w:hint="eastAsia"/>
                <w:u w:val="single"/>
                <w:lang w:eastAsia="en-US"/>
              </w:rPr>
              <w:t>ơ</w:t>
            </w:r>
            <w:r>
              <w:rPr>
                <w:rFonts w:eastAsia="Times New Roman"/>
                <w:u w:val="single"/>
                <w:lang w:eastAsia="en-US"/>
              </w:rPr>
              <w:t>i nhận</w:t>
            </w:r>
            <w:r>
              <w:rPr>
                <w:rFonts w:eastAsia="Times New Roman"/>
                <w:lang w:eastAsia="en-US"/>
              </w:rPr>
              <w:t>:</w:t>
            </w:r>
          </w:p>
        </w:tc>
        <w:tc>
          <w:tcPr>
            <w:tcW w:w="3987" w:type="dxa"/>
          </w:tcPr>
          <w:p w:rsidR="00B36FD9" w:rsidRDefault="00D11083">
            <w:pPr>
              <w:jc w:val="center"/>
              <w:rPr>
                <w:rFonts w:eastAsia="Times New Roman"/>
                <w:b/>
                <w:lang w:eastAsia="en-US"/>
              </w:rPr>
            </w:pPr>
            <w:r>
              <w:rPr>
                <w:rFonts w:eastAsia="Times New Roman"/>
                <w:b/>
                <w:lang w:eastAsia="en-US"/>
              </w:rPr>
              <w:t>T/M BAN THƯỜNG VỤ</w:t>
            </w:r>
          </w:p>
        </w:tc>
      </w:tr>
      <w:tr w:rsidR="00B36FD9">
        <w:tc>
          <w:tcPr>
            <w:tcW w:w="5211" w:type="dxa"/>
          </w:tcPr>
          <w:p w:rsidR="00B36FD9" w:rsidRDefault="00D11083">
            <w:pPr>
              <w:jc w:val="both"/>
              <w:rPr>
                <w:rFonts w:eastAsia="Times New Roman"/>
                <w:sz w:val="24"/>
                <w:szCs w:val="24"/>
                <w:lang w:eastAsia="en-US"/>
              </w:rPr>
            </w:pPr>
            <w:r>
              <w:rPr>
                <w:rFonts w:eastAsia="Times New Roman"/>
                <w:sz w:val="24"/>
                <w:szCs w:val="24"/>
                <w:lang w:eastAsia="en-US"/>
              </w:rPr>
              <w:t>- Ban Thường vụ Tỉnh uỷ (báo cáo),</w:t>
            </w:r>
          </w:p>
        </w:tc>
        <w:tc>
          <w:tcPr>
            <w:tcW w:w="3987" w:type="dxa"/>
          </w:tcPr>
          <w:p w:rsidR="00B36FD9" w:rsidRDefault="00D11083">
            <w:pPr>
              <w:jc w:val="center"/>
              <w:rPr>
                <w:rFonts w:eastAsia="Times New Roman"/>
                <w:lang w:eastAsia="en-US"/>
              </w:rPr>
            </w:pPr>
            <w:r>
              <w:rPr>
                <w:rFonts w:eastAsia="Times New Roman"/>
                <w:lang w:eastAsia="en-US"/>
              </w:rPr>
              <w:t>PHÓ BÍ TH</w:t>
            </w:r>
            <w:r>
              <w:rPr>
                <w:rFonts w:eastAsia="Times New Roman" w:hint="eastAsia"/>
                <w:lang w:eastAsia="en-US"/>
              </w:rPr>
              <w:t>Ư</w:t>
            </w:r>
          </w:p>
        </w:tc>
      </w:tr>
      <w:tr w:rsidR="00B36FD9">
        <w:tc>
          <w:tcPr>
            <w:tcW w:w="5211" w:type="dxa"/>
          </w:tcPr>
          <w:p w:rsidR="00B36FD9" w:rsidRDefault="00D11083">
            <w:pPr>
              <w:jc w:val="both"/>
              <w:rPr>
                <w:rFonts w:eastAsia="Times New Roman"/>
                <w:spacing w:val="-12"/>
                <w:sz w:val="24"/>
                <w:szCs w:val="24"/>
                <w:lang w:eastAsia="en-US"/>
              </w:rPr>
            </w:pPr>
            <w:r>
              <w:rPr>
                <w:rFonts w:eastAsia="Times New Roman"/>
                <w:spacing w:val="-12"/>
                <w:sz w:val="24"/>
                <w:szCs w:val="24"/>
                <w:lang w:eastAsia="en-US"/>
              </w:rPr>
              <w:t>-</w:t>
            </w:r>
            <w:r>
              <w:rPr>
                <w:rFonts w:eastAsia="Times New Roman"/>
                <w:spacing w:val="-4"/>
                <w:sz w:val="24"/>
                <w:szCs w:val="24"/>
                <w:lang w:eastAsia="en-US"/>
              </w:rPr>
              <w:t xml:space="preserve"> Các đ/c lãnh đạo Tỉnh phụ trách giám sát thành phố Hồng Ngự,</w:t>
            </w:r>
          </w:p>
        </w:tc>
        <w:tc>
          <w:tcPr>
            <w:tcW w:w="3987" w:type="dxa"/>
          </w:tcPr>
          <w:p w:rsidR="00B36FD9" w:rsidRDefault="00B36FD9">
            <w:pPr>
              <w:jc w:val="center"/>
              <w:rPr>
                <w:rFonts w:eastAsia="Times New Roman"/>
                <w:lang w:eastAsia="en-US"/>
              </w:rPr>
            </w:pPr>
          </w:p>
        </w:tc>
      </w:tr>
      <w:tr w:rsidR="00B36FD9">
        <w:tc>
          <w:tcPr>
            <w:tcW w:w="5211" w:type="dxa"/>
          </w:tcPr>
          <w:p w:rsidR="00B36FD9" w:rsidRDefault="00D11083">
            <w:pPr>
              <w:jc w:val="both"/>
              <w:rPr>
                <w:rFonts w:eastAsia="Times New Roman"/>
                <w:sz w:val="24"/>
                <w:szCs w:val="24"/>
                <w:lang w:eastAsia="en-US"/>
              </w:rPr>
            </w:pPr>
            <w:r>
              <w:rPr>
                <w:rFonts w:eastAsia="Times New Roman"/>
                <w:sz w:val="24"/>
                <w:szCs w:val="24"/>
                <w:lang w:eastAsia="en-US"/>
              </w:rPr>
              <w:t>- Các chi bộ, đảng bộ cơ sở,</w:t>
            </w:r>
          </w:p>
        </w:tc>
        <w:tc>
          <w:tcPr>
            <w:tcW w:w="3987" w:type="dxa"/>
          </w:tcPr>
          <w:p w:rsidR="00B36FD9" w:rsidRDefault="00B36FD9">
            <w:pPr>
              <w:jc w:val="center"/>
              <w:rPr>
                <w:rFonts w:eastAsia="Times New Roman"/>
                <w:lang w:eastAsia="en-US"/>
              </w:rPr>
            </w:pPr>
          </w:p>
        </w:tc>
      </w:tr>
      <w:tr w:rsidR="00B36FD9">
        <w:tc>
          <w:tcPr>
            <w:tcW w:w="5211" w:type="dxa"/>
          </w:tcPr>
          <w:p w:rsidR="00B36FD9" w:rsidRDefault="00D11083">
            <w:pPr>
              <w:ind w:right="-171"/>
              <w:jc w:val="both"/>
              <w:rPr>
                <w:rFonts w:eastAsia="Times New Roman"/>
                <w:sz w:val="24"/>
                <w:szCs w:val="24"/>
                <w:lang w:eastAsia="en-US"/>
              </w:rPr>
            </w:pPr>
            <w:r>
              <w:rPr>
                <w:rFonts w:eastAsia="Times New Roman"/>
                <w:sz w:val="24"/>
                <w:szCs w:val="24"/>
                <w:lang w:eastAsia="en-US"/>
              </w:rPr>
              <w:t xml:space="preserve">- </w:t>
            </w:r>
            <w:r w:rsidR="00E27EA0">
              <w:rPr>
                <w:rFonts w:eastAsia="Times New Roman"/>
                <w:sz w:val="24"/>
                <w:szCs w:val="24"/>
                <w:lang w:eastAsia="en-US"/>
              </w:rPr>
              <w:t>Uỷ</w:t>
            </w:r>
            <w:r>
              <w:rPr>
                <w:rFonts w:eastAsia="Times New Roman"/>
                <w:sz w:val="24"/>
                <w:szCs w:val="24"/>
                <w:lang w:eastAsia="en-US"/>
              </w:rPr>
              <w:t xml:space="preserve"> ban nhân dân Thành phố,</w:t>
            </w:r>
          </w:p>
        </w:tc>
        <w:tc>
          <w:tcPr>
            <w:tcW w:w="3987" w:type="dxa"/>
          </w:tcPr>
          <w:p w:rsidR="00B36FD9" w:rsidRDefault="00B36FD9">
            <w:pPr>
              <w:jc w:val="center"/>
              <w:rPr>
                <w:rFonts w:eastAsia="Times New Roman"/>
                <w:lang w:eastAsia="en-US"/>
              </w:rPr>
            </w:pPr>
          </w:p>
        </w:tc>
      </w:tr>
      <w:tr w:rsidR="00B36FD9">
        <w:tc>
          <w:tcPr>
            <w:tcW w:w="5211" w:type="dxa"/>
          </w:tcPr>
          <w:p w:rsidR="00B36FD9" w:rsidRDefault="00D11083">
            <w:pPr>
              <w:ind w:right="-171"/>
              <w:rPr>
                <w:rFonts w:eastAsia="Times New Roman"/>
                <w:sz w:val="24"/>
                <w:szCs w:val="24"/>
                <w:lang w:eastAsia="en-US"/>
              </w:rPr>
            </w:pPr>
            <w:r>
              <w:rPr>
                <w:rFonts w:eastAsia="Times New Roman"/>
                <w:sz w:val="24"/>
                <w:szCs w:val="24"/>
                <w:lang w:eastAsia="en-US"/>
              </w:rPr>
              <w:t>- Các cơ quan chuyên trách tham mưu giúp việc của Thành ủy,</w:t>
            </w:r>
          </w:p>
        </w:tc>
        <w:tc>
          <w:tcPr>
            <w:tcW w:w="3987" w:type="dxa"/>
          </w:tcPr>
          <w:p w:rsidR="00B36FD9" w:rsidRDefault="00B36FD9">
            <w:pPr>
              <w:jc w:val="center"/>
              <w:rPr>
                <w:rFonts w:eastAsia="Times New Roman"/>
                <w:lang w:eastAsia="en-US"/>
              </w:rPr>
            </w:pPr>
          </w:p>
        </w:tc>
      </w:tr>
      <w:tr w:rsidR="00B36FD9">
        <w:tc>
          <w:tcPr>
            <w:tcW w:w="5211" w:type="dxa"/>
          </w:tcPr>
          <w:p w:rsidR="00B36FD9" w:rsidRDefault="00D11083">
            <w:pPr>
              <w:ind w:right="-171"/>
              <w:jc w:val="both"/>
              <w:rPr>
                <w:rFonts w:eastAsia="Times New Roman"/>
                <w:sz w:val="24"/>
                <w:szCs w:val="24"/>
                <w:lang w:eastAsia="en-US"/>
              </w:rPr>
            </w:pPr>
            <w:r>
              <w:rPr>
                <w:rFonts w:eastAsia="Times New Roman"/>
                <w:sz w:val="24"/>
                <w:szCs w:val="24"/>
                <w:lang w:eastAsia="en-US"/>
              </w:rPr>
              <w:t xml:space="preserve">- </w:t>
            </w:r>
            <w:r>
              <w:rPr>
                <w:rFonts w:eastAsia="Times New Roman"/>
                <w:sz w:val="24"/>
                <w:szCs w:val="24"/>
                <w:lang w:val="pt-BR" w:eastAsia="en-US"/>
              </w:rPr>
              <w:t>MTTQ và các tổ chức chính trị - xã hội</w:t>
            </w:r>
            <w:r>
              <w:rPr>
                <w:rFonts w:eastAsia="Times New Roman"/>
                <w:sz w:val="24"/>
                <w:szCs w:val="24"/>
                <w:lang w:eastAsia="en-US"/>
              </w:rPr>
              <w:t xml:space="preserve"> Thành phố,</w:t>
            </w:r>
          </w:p>
        </w:tc>
        <w:tc>
          <w:tcPr>
            <w:tcW w:w="3987" w:type="dxa"/>
          </w:tcPr>
          <w:p w:rsidR="00B36FD9" w:rsidRDefault="00B36FD9">
            <w:pPr>
              <w:jc w:val="center"/>
              <w:rPr>
                <w:rFonts w:eastAsia="Times New Roman"/>
                <w:lang w:eastAsia="en-US"/>
              </w:rPr>
            </w:pPr>
          </w:p>
        </w:tc>
      </w:tr>
      <w:tr w:rsidR="00B36FD9">
        <w:tc>
          <w:tcPr>
            <w:tcW w:w="5211" w:type="dxa"/>
          </w:tcPr>
          <w:p w:rsidR="00B36FD9" w:rsidRDefault="00D11083">
            <w:pPr>
              <w:jc w:val="both"/>
              <w:rPr>
                <w:rFonts w:eastAsia="Times New Roman"/>
                <w:sz w:val="24"/>
                <w:szCs w:val="24"/>
                <w:lang w:eastAsia="en-US"/>
              </w:rPr>
            </w:pPr>
            <w:r>
              <w:rPr>
                <w:rFonts w:eastAsia="Times New Roman"/>
                <w:spacing w:val="2"/>
                <w:sz w:val="24"/>
                <w:szCs w:val="24"/>
                <w:lang w:eastAsia="en-US"/>
              </w:rPr>
              <w:t xml:space="preserve">- Các đ/c Thành </w:t>
            </w:r>
            <w:r w:rsidR="00E27EA0">
              <w:rPr>
                <w:rFonts w:eastAsia="Times New Roman"/>
                <w:spacing w:val="2"/>
                <w:sz w:val="24"/>
                <w:szCs w:val="24"/>
                <w:lang w:eastAsia="en-US"/>
              </w:rPr>
              <w:t>uỷ</w:t>
            </w:r>
            <w:r>
              <w:rPr>
                <w:rFonts w:eastAsia="Times New Roman"/>
                <w:spacing w:val="2"/>
                <w:sz w:val="24"/>
                <w:szCs w:val="24"/>
                <w:lang w:eastAsia="en-US"/>
              </w:rPr>
              <w:t xml:space="preserve"> viên,</w:t>
            </w:r>
          </w:p>
        </w:tc>
        <w:tc>
          <w:tcPr>
            <w:tcW w:w="3987" w:type="dxa"/>
          </w:tcPr>
          <w:p w:rsidR="00B36FD9" w:rsidRDefault="00B36FD9">
            <w:pPr>
              <w:rPr>
                <w:rFonts w:eastAsia="Times New Roman"/>
                <w:lang w:eastAsia="en-US"/>
              </w:rPr>
            </w:pPr>
          </w:p>
        </w:tc>
      </w:tr>
      <w:tr w:rsidR="00B36FD9">
        <w:tc>
          <w:tcPr>
            <w:tcW w:w="5211" w:type="dxa"/>
          </w:tcPr>
          <w:p w:rsidR="00B36FD9" w:rsidRDefault="00D11083">
            <w:pPr>
              <w:jc w:val="both"/>
              <w:rPr>
                <w:rFonts w:eastAsia="Times New Roman"/>
                <w:sz w:val="24"/>
                <w:szCs w:val="24"/>
                <w:lang w:eastAsia="en-US"/>
              </w:rPr>
            </w:pPr>
            <w:r>
              <w:rPr>
                <w:rFonts w:eastAsia="Times New Roman"/>
                <w:sz w:val="24"/>
                <w:szCs w:val="24"/>
                <w:lang w:eastAsia="en-US"/>
              </w:rPr>
              <w:t>- L</w:t>
            </w:r>
            <w:r>
              <w:rPr>
                <w:rFonts w:eastAsia="Times New Roman" w:hint="eastAsia"/>
                <w:sz w:val="24"/>
                <w:szCs w:val="24"/>
                <w:lang w:eastAsia="en-US"/>
              </w:rPr>
              <w:t>ư</w:t>
            </w:r>
            <w:r>
              <w:rPr>
                <w:rFonts w:eastAsia="Times New Roman"/>
                <w:sz w:val="24"/>
                <w:szCs w:val="24"/>
                <w:lang w:eastAsia="en-US"/>
              </w:rPr>
              <w:t>u Văn phòng Thành uỷ.</w:t>
            </w:r>
          </w:p>
        </w:tc>
        <w:tc>
          <w:tcPr>
            <w:tcW w:w="3987" w:type="dxa"/>
          </w:tcPr>
          <w:p w:rsidR="00B36FD9" w:rsidRDefault="00D11083">
            <w:pPr>
              <w:jc w:val="center"/>
              <w:rPr>
                <w:rFonts w:eastAsia="Times New Roman"/>
                <w:b/>
                <w:lang w:eastAsia="en-US"/>
              </w:rPr>
            </w:pPr>
            <w:r>
              <w:rPr>
                <w:rFonts w:eastAsia="Times New Roman"/>
                <w:b/>
                <w:lang w:eastAsia="en-US"/>
              </w:rPr>
              <w:t>Lê Hùng Dũng</w:t>
            </w:r>
          </w:p>
        </w:tc>
      </w:tr>
    </w:tbl>
    <w:p w:rsidR="00B36FD9" w:rsidRDefault="00B36FD9">
      <w:pPr>
        <w:spacing w:before="120" w:after="120" w:line="288" w:lineRule="auto"/>
        <w:ind w:firstLine="567"/>
        <w:jc w:val="both"/>
        <w:rPr>
          <w:b/>
        </w:rPr>
      </w:pPr>
    </w:p>
    <w:p w:rsidR="00B36FD9" w:rsidRDefault="00B36FD9"/>
    <w:sectPr w:rsidR="00B36FD9">
      <w:headerReference w:type="default" r:id="rId8"/>
      <w:pgSz w:w="11907" w:h="1683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9E1" w:rsidRDefault="00AF49E1">
      <w:r>
        <w:separator/>
      </w:r>
    </w:p>
  </w:endnote>
  <w:endnote w:type="continuationSeparator" w:id="0">
    <w:p w:rsidR="00AF49E1" w:rsidRDefault="00AF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charset w:val="00"/>
    <w:family w:val="roman"/>
    <w:pitch w:val="default"/>
  </w:font>
  <w:font w:name="TimesNewRomanPS-Italic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9E1" w:rsidRDefault="00AF49E1">
      <w:r>
        <w:separator/>
      </w:r>
    </w:p>
  </w:footnote>
  <w:footnote w:type="continuationSeparator" w:id="0">
    <w:p w:rsidR="00AF49E1" w:rsidRDefault="00AF49E1">
      <w:r>
        <w:continuationSeparator/>
      </w:r>
    </w:p>
  </w:footnote>
  <w:footnote w:id="1">
    <w:p w:rsidR="00B36FD9" w:rsidRDefault="00D11083">
      <w:pPr>
        <w:pStyle w:val="FootnoteText"/>
        <w:ind w:firstLine="284"/>
        <w:jc w:val="both"/>
        <w:rPr>
          <w:rFonts w:ascii="Times New Roman" w:hAnsi="Times New Roman"/>
          <w:b/>
        </w:rPr>
      </w:pPr>
      <w:r>
        <w:rPr>
          <w:rFonts w:ascii="Times New Roman" w:hAnsi="Times New Roman"/>
          <w:lang w:val="en-US"/>
        </w:rPr>
        <w:t>(</w:t>
      </w:r>
      <w:r>
        <w:rPr>
          <w:rStyle w:val="FootnoteReference"/>
          <w:rFonts w:ascii="Times New Roman" w:hAnsi="Times New Roman"/>
          <w:vertAlign w:val="baseline"/>
        </w:rPr>
        <w:footnoteRef/>
      </w:r>
      <w:r>
        <w:rPr>
          <w:rFonts w:ascii="Times New Roman" w:hAnsi="Times New Roman"/>
          <w:lang w:val="en-US"/>
        </w:rPr>
        <w:t>)</w:t>
      </w:r>
      <w:r>
        <w:rPr>
          <w:rFonts w:ascii="Times New Roman" w:hAnsi="Times New Roman"/>
        </w:rPr>
        <w:t xml:space="preserve"> </w:t>
      </w:r>
      <w:r>
        <w:rPr>
          <w:rFonts w:ascii="Times New Roman" w:hAnsi="Times New Roman"/>
          <w:lang w:val="en-US"/>
        </w:rPr>
        <w:t>Hợp tác xã nông nghiệp</w:t>
      </w:r>
      <w:r>
        <w:rPr>
          <w:rFonts w:ascii="Times New Roman" w:hAnsi="Times New Roman"/>
        </w:rPr>
        <w:t xml:space="preserve"> số 3 ấp Bình Chánh; T</w:t>
      </w:r>
      <w:r>
        <w:rPr>
          <w:rFonts w:ascii="Times New Roman" w:hAnsi="Times New Roman"/>
          <w:lang w:val="en-US"/>
        </w:rPr>
        <w:t>ổ hợp tác</w:t>
      </w:r>
      <w:r>
        <w:rPr>
          <w:rFonts w:ascii="Times New Roman" w:hAnsi="Times New Roman"/>
        </w:rPr>
        <w:t xml:space="preserve"> sản xuất lúa VietGAP khu 1 Bình Thạnh; T</w:t>
      </w:r>
      <w:r>
        <w:rPr>
          <w:rFonts w:ascii="Times New Roman" w:hAnsi="Times New Roman"/>
          <w:lang w:val="en-US"/>
        </w:rPr>
        <w:t>ổ hợp tác</w:t>
      </w:r>
      <w:r>
        <w:rPr>
          <w:rFonts w:ascii="Times New Roman" w:hAnsi="Times New Roman"/>
        </w:rPr>
        <w:t xml:space="preserve"> sản xuất lúa VietGAP khu 8 Bình Thạnh; T</w:t>
      </w:r>
      <w:r>
        <w:rPr>
          <w:rFonts w:ascii="Times New Roman" w:hAnsi="Times New Roman"/>
          <w:lang w:val="en-US"/>
        </w:rPr>
        <w:t>ổ hợp tác</w:t>
      </w:r>
      <w:r>
        <w:rPr>
          <w:rFonts w:ascii="Times New Roman" w:hAnsi="Times New Roman"/>
        </w:rPr>
        <w:t xml:space="preserve"> sản xuất lúa VietGAP khu 3 An Bình B; T</w:t>
      </w:r>
      <w:r>
        <w:rPr>
          <w:rFonts w:ascii="Times New Roman" w:hAnsi="Times New Roman"/>
          <w:lang w:val="en-US"/>
        </w:rPr>
        <w:t>ổ hợp tác</w:t>
      </w:r>
      <w:r>
        <w:rPr>
          <w:rFonts w:ascii="Times New Roman" w:hAnsi="Times New Roman"/>
        </w:rPr>
        <w:t xml:space="preserve"> xoài khu 5 An Bình A; </w:t>
      </w:r>
      <w:r>
        <w:rPr>
          <w:rFonts w:ascii="Times New Roman" w:hAnsi="Times New Roman"/>
          <w:lang w:val="en-US"/>
        </w:rPr>
        <w:t>Hợp tác xã nông nghiệp</w:t>
      </w:r>
      <w:r>
        <w:rPr>
          <w:rFonts w:ascii="Times New Roman" w:hAnsi="Times New Roman"/>
        </w:rPr>
        <w:t xml:space="preserve"> số 1, An Bình A; </w:t>
      </w:r>
      <w:r>
        <w:rPr>
          <w:rFonts w:ascii="Times New Roman" w:hAnsi="Times New Roman"/>
          <w:lang w:val="en-US"/>
        </w:rPr>
        <w:t>Hợp tác xã nông nghiệp</w:t>
      </w:r>
      <w:r>
        <w:rPr>
          <w:rFonts w:ascii="Times New Roman" w:hAnsi="Times New Roman"/>
        </w:rPr>
        <w:t xml:space="preserve"> An Bình B; </w:t>
      </w:r>
      <w:r>
        <w:rPr>
          <w:rFonts w:ascii="Times New Roman" w:hAnsi="Times New Roman"/>
          <w:lang w:val="en-US"/>
        </w:rPr>
        <w:t>Hợp tác xã nông nghiệp</w:t>
      </w:r>
      <w:r>
        <w:rPr>
          <w:rFonts w:ascii="Times New Roman" w:hAnsi="Times New Roman"/>
        </w:rPr>
        <w:t xml:space="preserve"> An Hoà; </w:t>
      </w:r>
      <w:r>
        <w:rPr>
          <w:rFonts w:ascii="Times New Roman" w:hAnsi="Times New Roman"/>
          <w:lang w:val="en-US"/>
        </w:rPr>
        <w:t>Hợp tác xã nông nghiệp</w:t>
      </w:r>
      <w:r>
        <w:rPr>
          <w:rFonts w:ascii="Times New Roman" w:hAnsi="Times New Roman"/>
        </w:rPr>
        <w:t xml:space="preserve"> số 10 Bình Lý; </w:t>
      </w:r>
      <w:r>
        <w:rPr>
          <w:rFonts w:ascii="Times New Roman" w:hAnsi="Times New Roman"/>
          <w:lang w:val="en-US"/>
        </w:rPr>
        <w:t>Hợp tác xã nông nghiệp</w:t>
      </w:r>
      <w:r>
        <w:rPr>
          <w:rFonts w:ascii="Times New Roman" w:hAnsi="Times New Roman"/>
        </w:rPr>
        <w:t xml:space="preserve"> Tân Hoà Thuận.</w:t>
      </w:r>
    </w:p>
  </w:footnote>
  <w:footnote w:id="2">
    <w:p w:rsidR="00B36FD9" w:rsidRDefault="00D11083">
      <w:pPr>
        <w:pStyle w:val="FootnoteText"/>
        <w:ind w:firstLine="284"/>
        <w:jc w:val="both"/>
        <w:rPr>
          <w:rFonts w:ascii="Times New Roman" w:hAnsi="Times New Roman"/>
          <w:color w:val="FF0000"/>
          <w:lang w:val="en-US"/>
        </w:rPr>
      </w:pPr>
      <w:r>
        <w:rPr>
          <w:rFonts w:ascii="Times New Roman" w:hAnsi="Times New Roman"/>
          <w:lang w:val="en-US"/>
        </w:rPr>
        <w:t>(</w:t>
      </w:r>
      <w:r>
        <w:rPr>
          <w:rStyle w:val="FootnoteReference"/>
          <w:rFonts w:ascii="Times New Roman" w:hAnsi="Times New Roman"/>
          <w:vertAlign w:val="baseline"/>
        </w:rPr>
        <w:footnoteRef/>
      </w:r>
      <w:r>
        <w:rPr>
          <w:rFonts w:ascii="Times New Roman" w:hAnsi="Times New Roman"/>
          <w:lang w:val="en-US"/>
        </w:rPr>
        <w:t>)</w:t>
      </w:r>
      <w:r>
        <w:rPr>
          <w:rFonts w:ascii="Times New Roman" w:hAnsi="Times New Roman"/>
        </w:rPr>
        <w:t xml:space="preserve"> Vùng trồng lúa </w:t>
      </w:r>
      <w:r>
        <w:rPr>
          <w:rFonts w:ascii="Times New Roman" w:hAnsi="Times New Roman"/>
          <w:lang w:val="en-US"/>
        </w:rPr>
        <w:t>Hợp tác xã nông nghiệp</w:t>
      </w:r>
      <w:r>
        <w:rPr>
          <w:rFonts w:ascii="Times New Roman" w:hAnsi="Times New Roman"/>
        </w:rPr>
        <w:t xml:space="preserve"> số 3 ấp Bình Chánh</w:t>
      </w:r>
      <w:r>
        <w:rPr>
          <w:rFonts w:ascii="Times New Roman" w:hAnsi="Times New Roman"/>
          <w:lang w:val="en-US"/>
        </w:rPr>
        <w:t xml:space="preserve"> 150 ha</w:t>
      </w:r>
      <w:r>
        <w:rPr>
          <w:rFonts w:ascii="Times New Roman" w:hAnsi="Times New Roman"/>
        </w:rPr>
        <w:t xml:space="preserve">; Vùng trồng lúa </w:t>
      </w:r>
      <w:r>
        <w:rPr>
          <w:rFonts w:ascii="Times New Roman" w:hAnsi="Times New Roman"/>
          <w:lang w:val="en-US"/>
        </w:rPr>
        <w:t xml:space="preserve">Hợp tác xã nông nghiệp </w:t>
      </w:r>
      <w:r>
        <w:rPr>
          <w:rFonts w:ascii="Times New Roman" w:hAnsi="Times New Roman"/>
        </w:rPr>
        <w:t>số 1, An Bình A</w:t>
      </w:r>
      <w:r>
        <w:rPr>
          <w:rFonts w:ascii="Times New Roman" w:hAnsi="Times New Roman"/>
          <w:lang w:val="en-US"/>
        </w:rPr>
        <w:t xml:space="preserve"> 231,11ha</w:t>
      </w:r>
      <w:r>
        <w:rPr>
          <w:rFonts w:ascii="Times New Roman" w:hAnsi="Times New Roman"/>
        </w:rPr>
        <w:t xml:space="preserve">; Vùng trồng lúa </w:t>
      </w:r>
      <w:r>
        <w:rPr>
          <w:rFonts w:ascii="Times New Roman" w:hAnsi="Times New Roman"/>
          <w:lang w:val="en-US"/>
        </w:rPr>
        <w:t>Hợp tác xã nông nghiệp</w:t>
      </w:r>
      <w:r>
        <w:rPr>
          <w:rFonts w:ascii="Times New Roman" w:hAnsi="Times New Roman"/>
        </w:rPr>
        <w:t xml:space="preserve"> Tân Hoà Thuận</w:t>
      </w:r>
      <w:r>
        <w:rPr>
          <w:rFonts w:ascii="Times New Roman" w:hAnsi="Times New Roman"/>
          <w:lang w:val="en-US"/>
        </w:rPr>
        <w:t xml:space="preserve"> 241 ha</w:t>
      </w:r>
      <w:r>
        <w:rPr>
          <w:rFonts w:ascii="Times New Roman" w:hAnsi="Times New Roman"/>
        </w:rPr>
        <w:t>; Vùng trồng lúa Khu 2, ấp Tân Hoà Trung, xã Tân Hộ</w:t>
      </w:r>
      <w:r>
        <w:rPr>
          <w:rFonts w:ascii="Times New Roman" w:hAnsi="Times New Roman"/>
          <w:lang w:val="en-US"/>
        </w:rPr>
        <w:t xml:space="preserve">i 188,26 ha; </w:t>
      </w:r>
      <w:r>
        <w:rPr>
          <w:rFonts w:ascii="Times New Roman" w:hAnsi="Times New Roman"/>
        </w:rPr>
        <w:t>Vùng trồng lúa HTX Nông nghi</w:t>
      </w:r>
      <w:r>
        <w:rPr>
          <w:rFonts w:ascii="Times New Roman" w:hAnsi="Times New Roman"/>
          <w:lang w:val="en-US"/>
        </w:rPr>
        <w:t>ệ</w:t>
      </w:r>
      <w:r>
        <w:rPr>
          <w:rFonts w:ascii="Times New Roman" w:hAnsi="Times New Roman"/>
        </w:rPr>
        <w:t>p số 10 Bình Lý 348,90 ha; Vùng trồng lúa khu 1, ấp Bình Hoà, xã Bình Th</w:t>
      </w:r>
      <w:r>
        <w:rPr>
          <w:rFonts w:ascii="Times New Roman" w:hAnsi="Times New Roman"/>
          <w:lang w:val="en-US"/>
        </w:rPr>
        <w:t>ạ</w:t>
      </w:r>
      <w:r>
        <w:rPr>
          <w:rFonts w:ascii="Times New Roman" w:hAnsi="Times New Roman"/>
        </w:rPr>
        <w:t>nh, thành phố Hồng Ngự 353,50 ha; Vùng trồng lúa khu 1, ấp Tân Hoà, xã Tân Hội, thành phố Hồng Ngự</w:t>
      </w:r>
      <w:r>
        <w:rPr>
          <w:rFonts w:ascii="Times New Roman" w:hAnsi="Times New Roman"/>
          <w:lang w:val="en-US"/>
        </w:rPr>
        <w:t xml:space="preserve"> </w:t>
      </w:r>
      <w:r>
        <w:rPr>
          <w:rFonts w:ascii="Times New Roman" w:hAnsi="Times New Roman"/>
        </w:rPr>
        <w:t>174,06 ha; Vùng trồng lúa HTX Nông nghi</w:t>
      </w:r>
      <w:r>
        <w:rPr>
          <w:rFonts w:ascii="Times New Roman" w:hAnsi="Times New Roman"/>
          <w:lang w:val="en-US"/>
        </w:rPr>
        <w:t>ệ</w:t>
      </w:r>
      <w:r>
        <w:rPr>
          <w:rFonts w:ascii="Times New Roman" w:hAnsi="Times New Roman"/>
        </w:rPr>
        <w:t>p An Hoà 355,90 ha; Vùng trồng lúa HTX Nông nghi</w:t>
      </w:r>
      <w:r>
        <w:rPr>
          <w:rFonts w:ascii="Times New Roman" w:hAnsi="Times New Roman"/>
          <w:lang w:val="en-US"/>
        </w:rPr>
        <w:t>ệ</w:t>
      </w:r>
      <w:r>
        <w:rPr>
          <w:rFonts w:ascii="Times New Roman" w:hAnsi="Times New Roman"/>
        </w:rPr>
        <w:t>p An Bình B</w:t>
      </w:r>
      <w:r>
        <w:rPr>
          <w:rFonts w:ascii="Times New Roman" w:hAnsi="Times New Roman"/>
          <w:lang w:val="en-US"/>
        </w:rPr>
        <w:t xml:space="preserve"> </w:t>
      </w:r>
      <w:r>
        <w:rPr>
          <w:rFonts w:ascii="Times New Roman" w:hAnsi="Times New Roman"/>
        </w:rPr>
        <w:t>567,90 ha; Vùng trồng lúa HTX Nông nghi</w:t>
      </w:r>
      <w:r>
        <w:rPr>
          <w:rFonts w:ascii="Times New Roman" w:hAnsi="Times New Roman"/>
          <w:lang w:val="en-US"/>
        </w:rPr>
        <w:t>ệ</w:t>
      </w:r>
      <w:r>
        <w:rPr>
          <w:rFonts w:ascii="Times New Roman" w:hAnsi="Times New Roman"/>
        </w:rPr>
        <w:t>p An L</w:t>
      </w:r>
      <w:r>
        <w:rPr>
          <w:rFonts w:ascii="Times New Roman" w:hAnsi="Times New Roman"/>
          <w:lang w:val="en-US"/>
        </w:rPr>
        <w:t>ạ</w:t>
      </w:r>
      <w:r>
        <w:rPr>
          <w:rFonts w:ascii="Times New Roman" w:hAnsi="Times New Roman"/>
        </w:rPr>
        <w:t>c</w:t>
      </w:r>
      <w:r>
        <w:rPr>
          <w:rFonts w:ascii="Times New Roman" w:hAnsi="Times New Roman"/>
          <w:lang w:val="en-US"/>
        </w:rPr>
        <w:t xml:space="preserve"> </w:t>
      </w:r>
      <w:r>
        <w:rPr>
          <w:rFonts w:ascii="Times New Roman" w:hAnsi="Times New Roman"/>
        </w:rPr>
        <w:t>406,00 ha</w:t>
      </w:r>
      <w:r>
        <w:rPr>
          <w:rFonts w:ascii="Times New Roman" w:hAnsi="Times New Roman"/>
          <w:lang w:val="en-US"/>
        </w:rPr>
        <w:t>; Vùng trồng lúa Khu 3, phường An Bình B 50ha.</w:t>
      </w:r>
    </w:p>
  </w:footnote>
  <w:footnote w:id="3">
    <w:p w:rsidR="00B36FD9" w:rsidRPr="006B1784" w:rsidRDefault="00D11083">
      <w:pPr>
        <w:pStyle w:val="FootnoteText"/>
        <w:ind w:firstLine="284"/>
        <w:jc w:val="both"/>
        <w:rPr>
          <w:rFonts w:ascii="Times New Roman" w:hAnsi="Times New Roman"/>
          <w:lang w:val="en-US"/>
        </w:rPr>
      </w:pPr>
      <w:r w:rsidRPr="006B1784">
        <w:rPr>
          <w:rFonts w:ascii="Times New Roman" w:hAnsi="Times New Roman"/>
          <w:lang w:val="en-US"/>
        </w:rPr>
        <w:t>(</w:t>
      </w:r>
      <w:r w:rsidRPr="006B1784">
        <w:rPr>
          <w:rStyle w:val="FootnoteReference"/>
          <w:rFonts w:ascii="Times New Roman" w:hAnsi="Times New Roman"/>
          <w:vertAlign w:val="baseline"/>
        </w:rPr>
        <w:footnoteRef/>
      </w:r>
      <w:r w:rsidRPr="006B1784">
        <w:rPr>
          <w:rFonts w:ascii="Times New Roman" w:hAnsi="Times New Roman"/>
          <w:lang w:val="en-US"/>
        </w:rPr>
        <w:t>)</w:t>
      </w:r>
      <w:r w:rsidRPr="006B1784">
        <w:rPr>
          <w:rFonts w:ascii="Times New Roman" w:hAnsi="Times New Roman"/>
        </w:rPr>
        <w:t xml:space="preserve"> </w:t>
      </w:r>
      <w:r w:rsidRPr="006B1784">
        <w:rPr>
          <w:rFonts w:ascii="Times New Roman" w:hAnsi="Times New Roman"/>
          <w:lang w:val="es-MX"/>
        </w:rPr>
        <w:t>Theo Nghị quyết số 239/2020/NQ-HĐND ngày 10/7/2020 của Hội đồng nhân dân Tỉnh hỗ trợ tối đa là 50% chi phí con giống, cây giống, thiết bị, vật tư/mô hình trình diễn; 40% tổng kinh phí mô hình ứng dụng công nghệ cao.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326469"/>
      <w:docPartObj>
        <w:docPartGallery w:val="AutoText"/>
      </w:docPartObj>
    </w:sdtPr>
    <w:sdtEndPr/>
    <w:sdtContent>
      <w:p w:rsidR="00B36FD9" w:rsidRDefault="00D11083">
        <w:pPr>
          <w:pStyle w:val="Header"/>
          <w:jc w:val="center"/>
        </w:pPr>
        <w:r>
          <w:fldChar w:fldCharType="begin"/>
        </w:r>
        <w:r>
          <w:instrText xml:space="preserve"> PAGE   \* MERGEFORMAT </w:instrText>
        </w:r>
        <w:r>
          <w:fldChar w:fldCharType="separate"/>
        </w:r>
        <w:r w:rsidR="00E82E56">
          <w:rPr>
            <w:noProof/>
          </w:rPr>
          <w:t>7</w:t>
        </w:r>
        <w:r>
          <w:fldChar w:fldCharType="end"/>
        </w:r>
      </w:p>
    </w:sdtContent>
  </w:sdt>
  <w:p w:rsidR="00B36FD9" w:rsidRDefault="00B36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53"/>
    <w:rsid w:val="00011918"/>
    <w:rsid w:val="00011934"/>
    <w:rsid w:val="00017028"/>
    <w:rsid w:val="00025BD7"/>
    <w:rsid w:val="000313D3"/>
    <w:rsid w:val="00035FFD"/>
    <w:rsid w:val="000404D6"/>
    <w:rsid w:val="000406A9"/>
    <w:rsid w:val="00044415"/>
    <w:rsid w:val="000537BC"/>
    <w:rsid w:val="00055EF9"/>
    <w:rsid w:val="000628C6"/>
    <w:rsid w:val="0006368A"/>
    <w:rsid w:val="00065604"/>
    <w:rsid w:val="000742EF"/>
    <w:rsid w:val="00075683"/>
    <w:rsid w:val="00076760"/>
    <w:rsid w:val="0009161B"/>
    <w:rsid w:val="00091C69"/>
    <w:rsid w:val="00094656"/>
    <w:rsid w:val="000A054F"/>
    <w:rsid w:val="000A05B4"/>
    <w:rsid w:val="000B1476"/>
    <w:rsid w:val="000B174A"/>
    <w:rsid w:val="000B3927"/>
    <w:rsid w:val="000B4030"/>
    <w:rsid w:val="000B7CC6"/>
    <w:rsid w:val="000C473A"/>
    <w:rsid w:val="000C7635"/>
    <w:rsid w:val="000E4AB6"/>
    <w:rsid w:val="000E7D66"/>
    <w:rsid w:val="000F200F"/>
    <w:rsid w:val="000F3E11"/>
    <w:rsid w:val="001026B8"/>
    <w:rsid w:val="0010570C"/>
    <w:rsid w:val="00114928"/>
    <w:rsid w:val="00121BA7"/>
    <w:rsid w:val="0013399F"/>
    <w:rsid w:val="00143035"/>
    <w:rsid w:val="00164A65"/>
    <w:rsid w:val="00166A40"/>
    <w:rsid w:val="00172641"/>
    <w:rsid w:val="00176FE8"/>
    <w:rsid w:val="00180438"/>
    <w:rsid w:val="001807A9"/>
    <w:rsid w:val="00180B80"/>
    <w:rsid w:val="0018429C"/>
    <w:rsid w:val="00191698"/>
    <w:rsid w:val="0019171B"/>
    <w:rsid w:val="001C706C"/>
    <w:rsid w:val="001C7E11"/>
    <w:rsid w:val="001D59F3"/>
    <w:rsid w:val="001D5DCF"/>
    <w:rsid w:val="001E3AB0"/>
    <w:rsid w:val="001F3416"/>
    <w:rsid w:val="001F53FE"/>
    <w:rsid w:val="00202098"/>
    <w:rsid w:val="00203B09"/>
    <w:rsid w:val="00207A42"/>
    <w:rsid w:val="002215A5"/>
    <w:rsid w:val="00223C6E"/>
    <w:rsid w:val="002361FA"/>
    <w:rsid w:val="00236AD0"/>
    <w:rsid w:val="0024183D"/>
    <w:rsid w:val="00243320"/>
    <w:rsid w:val="0024686E"/>
    <w:rsid w:val="002473D3"/>
    <w:rsid w:val="002500C2"/>
    <w:rsid w:val="0025189E"/>
    <w:rsid w:val="002531E5"/>
    <w:rsid w:val="00262D72"/>
    <w:rsid w:val="00280C93"/>
    <w:rsid w:val="00290D6F"/>
    <w:rsid w:val="002A397F"/>
    <w:rsid w:val="002A4B74"/>
    <w:rsid w:val="002A6074"/>
    <w:rsid w:val="002B34AA"/>
    <w:rsid w:val="002C57EE"/>
    <w:rsid w:val="002C641B"/>
    <w:rsid w:val="002D252B"/>
    <w:rsid w:val="002D6DA8"/>
    <w:rsid w:val="002D79EF"/>
    <w:rsid w:val="002E1D73"/>
    <w:rsid w:val="002F5848"/>
    <w:rsid w:val="002F7ED2"/>
    <w:rsid w:val="00300443"/>
    <w:rsid w:val="003008D3"/>
    <w:rsid w:val="0030562B"/>
    <w:rsid w:val="00314311"/>
    <w:rsid w:val="003174EF"/>
    <w:rsid w:val="00325C20"/>
    <w:rsid w:val="00327A64"/>
    <w:rsid w:val="00327C2E"/>
    <w:rsid w:val="00330897"/>
    <w:rsid w:val="0033139C"/>
    <w:rsid w:val="00333EDB"/>
    <w:rsid w:val="0033461C"/>
    <w:rsid w:val="0034269E"/>
    <w:rsid w:val="003466EF"/>
    <w:rsid w:val="0035096F"/>
    <w:rsid w:val="0035276C"/>
    <w:rsid w:val="0035607A"/>
    <w:rsid w:val="003574D0"/>
    <w:rsid w:val="003602C6"/>
    <w:rsid w:val="003604E8"/>
    <w:rsid w:val="00360683"/>
    <w:rsid w:val="00366542"/>
    <w:rsid w:val="00367337"/>
    <w:rsid w:val="003800BE"/>
    <w:rsid w:val="0038036F"/>
    <w:rsid w:val="00381540"/>
    <w:rsid w:val="00383008"/>
    <w:rsid w:val="00387988"/>
    <w:rsid w:val="003915AE"/>
    <w:rsid w:val="00393578"/>
    <w:rsid w:val="003A139F"/>
    <w:rsid w:val="003A51EC"/>
    <w:rsid w:val="003A5C35"/>
    <w:rsid w:val="003B285F"/>
    <w:rsid w:val="003B2A69"/>
    <w:rsid w:val="003B6B06"/>
    <w:rsid w:val="003C091B"/>
    <w:rsid w:val="003C5B63"/>
    <w:rsid w:val="003D72A3"/>
    <w:rsid w:val="003E3528"/>
    <w:rsid w:val="003E4CEC"/>
    <w:rsid w:val="003E5C08"/>
    <w:rsid w:val="003E6F2D"/>
    <w:rsid w:val="003E6FF7"/>
    <w:rsid w:val="003F2D76"/>
    <w:rsid w:val="003F3ADC"/>
    <w:rsid w:val="003F6EC9"/>
    <w:rsid w:val="004027DB"/>
    <w:rsid w:val="0040729B"/>
    <w:rsid w:val="004072FA"/>
    <w:rsid w:val="00413571"/>
    <w:rsid w:val="004172AE"/>
    <w:rsid w:val="0042241B"/>
    <w:rsid w:val="00423D26"/>
    <w:rsid w:val="00430471"/>
    <w:rsid w:val="0043413F"/>
    <w:rsid w:val="00440921"/>
    <w:rsid w:val="00441FE9"/>
    <w:rsid w:val="00442723"/>
    <w:rsid w:val="004478E0"/>
    <w:rsid w:val="00450CDC"/>
    <w:rsid w:val="00451BAB"/>
    <w:rsid w:val="00454E01"/>
    <w:rsid w:val="00460826"/>
    <w:rsid w:val="00462423"/>
    <w:rsid w:val="00465BBC"/>
    <w:rsid w:val="00465D8A"/>
    <w:rsid w:val="00476596"/>
    <w:rsid w:val="00476800"/>
    <w:rsid w:val="0048059A"/>
    <w:rsid w:val="00481EFC"/>
    <w:rsid w:val="004855E0"/>
    <w:rsid w:val="00485D0A"/>
    <w:rsid w:val="004862B5"/>
    <w:rsid w:val="00486903"/>
    <w:rsid w:val="00493ECC"/>
    <w:rsid w:val="0049463C"/>
    <w:rsid w:val="004970E6"/>
    <w:rsid w:val="0049765C"/>
    <w:rsid w:val="004A119B"/>
    <w:rsid w:val="004A4442"/>
    <w:rsid w:val="004B3AF1"/>
    <w:rsid w:val="004C3CF7"/>
    <w:rsid w:val="004C75C4"/>
    <w:rsid w:val="004D45FB"/>
    <w:rsid w:val="004D6163"/>
    <w:rsid w:val="004E12F5"/>
    <w:rsid w:val="004E5F7A"/>
    <w:rsid w:val="004E66AD"/>
    <w:rsid w:val="004F4AFD"/>
    <w:rsid w:val="00502240"/>
    <w:rsid w:val="00505298"/>
    <w:rsid w:val="00514697"/>
    <w:rsid w:val="0051476F"/>
    <w:rsid w:val="0053743D"/>
    <w:rsid w:val="00540167"/>
    <w:rsid w:val="005420C1"/>
    <w:rsid w:val="00545E8D"/>
    <w:rsid w:val="005468DD"/>
    <w:rsid w:val="0055432D"/>
    <w:rsid w:val="0055535E"/>
    <w:rsid w:val="005621DD"/>
    <w:rsid w:val="00577052"/>
    <w:rsid w:val="005815D5"/>
    <w:rsid w:val="00585ED8"/>
    <w:rsid w:val="00590E9B"/>
    <w:rsid w:val="00595DA4"/>
    <w:rsid w:val="005A19F5"/>
    <w:rsid w:val="005A5E65"/>
    <w:rsid w:val="005A70FF"/>
    <w:rsid w:val="005B35DC"/>
    <w:rsid w:val="005B43D0"/>
    <w:rsid w:val="005B45E9"/>
    <w:rsid w:val="005C7E31"/>
    <w:rsid w:val="005D3CF6"/>
    <w:rsid w:val="005D472D"/>
    <w:rsid w:val="005D500B"/>
    <w:rsid w:val="005D581E"/>
    <w:rsid w:val="005E6699"/>
    <w:rsid w:val="005E7DE7"/>
    <w:rsid w:val="005F473F"/>
    <w:rsid w:val="00600F09"/>
    <w:rsid w:val="00603CFC"/>
    <w:rsid w:val="006054AE"/>
    <w:rsid w:val="006114E6"/>
    <w:rsid w:val="00622D97"/>
    <w:rsid w:val="00625759"/>
    <w:rsid w:val="006261A9"/>
    <w:rsid w:val="0063370A"/>
    <w:rsid w:val="00634014"/>
    <w:rsid w:val="00635F8C"/>
    <w:rsid w:val="00641CA9"/>
    <w:rsid w:val="006427BB"/>
    <w:rsid w:val="00645B3B"/>
    <w:rsid w:val="00652DBF"/>
    <w:rsid w:val="0065696E"/>
    <w:rsid w:val="00663B7C"/>
    <w:rsid w:val="0066588D"/>
    <w:rsid w:val="0067313C"/>
    <w:rsid w:val="00676DB6"/>
    <w:rsid w:val="00683776"/>
    <w:rsid w:val="006857E6"/>
    <w:rsid w:val="00693408"/>
    <w:rsid w:val="00695105"/>
    <w:rsid w:val="006A0E1D"/>
    <w:rsid w:val="006A1809"/>
    <w:rsid w:val="006B09F1"/>
    <w:rsid w:val="006B1784"/>
    <w:rsid w:val="006B39AB"/>
    <w:rsid w:val="006B6A6C"/>
    <w:rsid w:val="006B7061"/>
    <w:rsid w:val="006C7FE8"/>
    <w:rsid w:val="006D3E2F"/>
    <w:rsid w:val="006D53B2"/>
    <w:rsid w:val="006D7230"/>
    <w:rsid w:val="006E2447"/>
    <w:rsid w:val="006E448B"/>
    <w:rsid w:val="006E75F0"/>
    <w:rsid w:val="006F6C42"/>
    <w:rsid w:val="006F730D"/>
    <w:rsid w:val="00702B87"/>
    <w:rsid w:val="00703243"/>
    <w:rsid w:val="00703FC7"/>
    <w:rsid w:val="00714DA1"/>
    <w:rsid w:val="00722113"/>
    <w:rsid w:val="00722CD2"/>
    <w:rsid w:val="007241E3"/>
    <w:rsid w:val="00725208"/>
    <w:rsid w:val="0073287B"/>
    <w:rsid w:val="007333ED"/>
    <w:rsid w:val="007338A2"/>
    <w:rsid w:val="00740369"/>
    <w:rsid w:val="007433D1"/>
    <w:rsid w:val="00744510"/>
    <w:rsid w:val="00753AFD"/>
    <w:rsid w:val="00755A20"/>
    <w:rsid w:val="00755AD4"/>
    <w:rsid w:val="007632A4"/>
    <w:rsid w:val="00765039"/>
    <w:rsid w:val="0076527B"/>
    <w:rsid w:val="00766F85"/>
    <w:rsid w:val="007700E5"/>
    <w:rsid w:val="0077193E"/>
    <w:rsid w:val="0077263B"/>
    <w:rsid w:val="007734FA"/>
    <w:rsid w:val="00774571"/>
    <w:rsid w:val="00780400"/>
    <w:rsid w:val="00786A9E"/>
    <w:rsid w:val="0078710A"/>
    <w:rsid w:val="0079665A"/>
    <w:rsid w:val="007A4AB3"/>
    <w:rsid w:val="007B1D4F"/>
    <w:rsid w:val="007B2000"/>
    <w:rsid w:val="007B25A9"/>
    <w:rsid w:val="007B70A8"/>
    <w:rsid w:val="007C0232"/>
    <w:rsid w:val="007C760F"/>
    <w:rsid w:val="007D1279"/>
    <w:rsid w:val="007D7BFB"/>
    <w:rsid w:val="007E0BCB"/>
    <w:rsid w:val="007E47B7"/>
    <w:rsid w:val="007F0C47"/>
    <w:rsid w:val="007F1755"/>
    <w:rsid w:val="007F5F9E"/>
    <w:rsid w:val="008014AC"/>
    <w:rsid w:val="0081190F"/>
    <w:rsid w:val="00815BAF"/>
    <w:rsid w:val="00816C18"/>
    <w:rsid w:val="00820D12"/>
    <w:rsid w:val="008248FA"/>
    <w:rsid w:val="00834A85"/>
    <w:rsid w:val="00842F8D"/>
    <w:rsid w:val="00843299"/>
    <w:rsid w:val="00844C00"/>
    <w:rsid w:val="00847F86"/>
    <w:rsid w:val="00850232"/>
    <w:rsid w:val="00853995"/>
    <w:rsid w:val="0087165D"/>
    <w:rsid w:val="00880189"/>
    <w:rsid w:val="0088300B"/>
    <w:rsid w:val="00884163"/>
    <w:rsid w:val="00891F5E"/>
    <w:rsid w:val="00894A00"/>
    <w:rsid w:val="00894D28"/>
    <w:rsid w:val="00896ED3"/>
    <w:rsid w:val="008A3242"/>
    <w:rsid w:val="008A7AF6"/>
    <w:rsid w:val="008B0B3B"/>
    <w:rsid w:val="008B34C6"/>
    <w:rsid w:val="008C2A07"/>
    <w:rsid w:val="008D1A7E"/>
    <w:rsid w:val="008D6569"/>
    <w:rsid w:val="008E79E8"/>
    <w:rsid w:val="008F5760"/>
    <w:rsid w:val="008F70B2"/>
    <w:rsid w:val="0090731B"/>
    <w:rsid w:val="00907B6C"/>
    <w:rsid w:val="0091067C"/>
    <w:rsid w:val="00911501"/>
    <w:rsid w:val="00915C42"/>
    <w:rsid w:val="00915DD5"/>
    <w:rsid w:val="00916529"/>
    <w:rsid w:val="00917D52"/>
    <w:rsid w:val="00923F25"/>
    <w:rsid w:val="00937609"/>
    <w:rsid w:val="00945447"/>
    <w:rsid w:val="0094615E"/>
    <w:rsid w:val="009550A4"/>
    <w:rsid w:val="009554E6"/>
    <w:rsid w:val="00962A2A"/>
    <w:rsid w:val="009633AF"/>
    <w:rsid w:val="00964246"/>
    <w:rsid w:val="009724BF"/>
    <w:rsid w:val="009725C6"/>
    <w:rsid w:val="00975AFF"/>
    <w:rsid w:val="0097645C"/>
    <w:rsid w:val="00983428"/>
    <w:rsid w:val="0098385A"/>
    <w:rsid w:val="00992C43"/>
    <w:rsid w:val="00994586"/>
    <w:rsid w:val="009A406B"/>
    <w:rsid w:val="009A7B44"/>
    <w:rsid w:val="009B081E"/>
    <w:rsid w:val="009C6FEB"/>
    <w:rsid w:val="009E02A2"/>
    <w:rsid w:val="009F1209"/>
    <w:rsid w:val="009F405D"/>
    <w:rsid w:val="009F6AFB"/>
    <w:rsid w:val="009F7574"/>
    <w:rsid w:val="00A03662"/>
    <w:rsid w:val="00A054BE"/>
    <w:rsid w:val="00A0602F"/>
    <w:rsid w:val="00A063E1"/>
    <w:rsid w:val="00A134BA"/>
    <w:rsid w:val="00A17654"/>
    <w:rsid w:val="00A17D2C"/>
    <w:rsid w:val="00A25F86"/>
    <w:rsid w:val="00A3233E"/>
    <w:rsid w:val="00A333FC"/>
    <w:rsid w:val="00A33C72"/>
    <w:rsid w:val="00A34B12"/>
    <w:rsid w:val="00A40500"/>
    <w:rsid w:val="00A40FB9"/>
    <w:rsid w:val="00A41762"/>
    <w:rsid w:val="00A44E52"/>
    <w:rsid w:val="00A51104"/>
    <w:rsid w:val="00A54746"/>
    <w:rsid w:val="00A54AD2"/>
    <w:rsid w:val="00A5725E"/>
    <w:rsid w:val="00A67678"/>
    <w:rsid w:val="00A818EA"/>
    <w:rsid w:val="00A83424"/>
    <w:rsid w:val="00A913A0"/>
    <w:rsid w:val="00A97384"/>
    <w:rsid w:val="00AA3034"/>
    <w:rsid w:val="00AA394A"/>
    <w:rsid w:val="00AA4C66"/>
    <w:rsid w:val="00AA64B4"/>
    <w:rsid w:val="00AA7CA4"/>
    <w:rsid w:val="00AB2477"/>
    <w:rsid w:val="00AC376E"/>
    <w:rsid w:val="00AC77B1"/>
    <w:rsid w:val="00AD3304"/>
    <w:rsid w:val="00AD5E9A"/>
    <w:rsid w:val="00AE48EC"/>
    <w:rsid w:val="00AE4AF8"/>
    <w:rsid w:val="00AF3BD4"/>
    <w:rsid w:val="00AF468A"/>
    <w:rsid w:val="00AF49E1"/>
    <w:rsid w:val="00AF6B8F"/>
    <w:rsid w:val="00AF6E2B"/>
    <w:rsid w:val="00B04DC3"/>
    <w:rsid w:val="00B14675"/>
    <w:rsid w:val="00B153C2"/>
    <w:rsid w:val="00B15943"/>
    <w:rsid w:val="00B16F53"/>
    <w:rsid w:val="00B24E1D"/>
    <w:rsid w:val="00B32F68"/>
    <w:rsid w:val="00B33E9C"/>
    <w:rsid w:val="00B36AEC"/>
    <w:rsid w:val="00B36FD9"/>
    <w:rsid w:val="00B3711B"/>
    <w:rsid w:val="00B41CF2"/>
    <w:rsid w:val="00B4239E"/>
    <w:rsid w:val="00B4255F"/>
    <w:rsid w:val="00B43CA5"/>
    <w:rsid w:val="00B468F9"/>
    <w:rsid w:val="00B549CC"/>
    <w:rsid w:val="00B55AD9"/>
    <w:rsid w:val="00B718DF"/>
    <w:rsid w:val="00B74EDE"/>
    <w:rsid w:val="00B91A2A"/>
    <w:rsid w:val="00B91F23"/>
    <w:rsid w:val="00B92881"/>
    <w:rsid w:val="00B9605B"/>
    <w:rsid w:val="00BA0BF9"/>
    <w:rsid w:val="00BA2CC2"/>
    <w:rsid w:val="00BB7F9C"/>
    <w:rsid w:val="00BD155A"/>
    <w:rsid w:val="00BD2488"/>
    <w:rsid w:val="00BD4D0C"/>
    <w:rsid w:val="00BE0B3F"/>
    <w:rsid w:val="00BE38BC"/>
    <w:rsid w:val="00BE442C"/>
    <w:rsid w:val="00BE45DE"/>
    <w:rsid w:val="00BE7BB4"/>
    <w:rsid w:val="00BF6119"/>
    <w:rsid w:val="00BF79D5"/>
    <w:rsid w:val="00BF7FA7"/>
    <w:rsid w:val="00C05552"/>
    <w:rsid w:val="00C10105"/>
    <w:rsid w:val="00C1114C"/>
    <w:rsid w:val="00C132AA"/>
    <w:rsid w:val="00C13351"/>
    <w:rsid w:val="00C1647E"/>
    <w:rsid w:val="00C20774"/>
    <w:rsid w:val="00C305E1"/>
    <w:rsid w:val="00C45AA9"/>
    <w:rsid w:val="00C5073F"/>
    <w:rsid w:val="00C50D87"/>
    <w:rsid w:val="00C528EE"/>
    <w:rsid w:val="00C53D33"/>
    <w:rsid w:val="00C55249"/>
    <w:rsid w:val="00C55503"/>
    <w:rsid w:val="00C62BA1"/>
    <w:rsid w:val="00C63C41"/>
    <w:rsid w:val="00C63E92"/>
    <w:rsid w:val="00C67F04"/>
    <w:rsid w:val="00C72A96"/>
    <w:rsid w:val="00C72C5E"/>
    <w:rsid w:val="00C72EEC"/>
    <w:rsid w:val="00C76D51"/>
    <w:rsid w:val="00C87C1B"/>
    <w:rsid w:val="00C90B77"/>
    <w:rsid w:val="00C932B7"/>
    <w:rsid w:val="00C93D4E"/>
    <w:rsid w:val="00C96214"/>
    <w:rsid w:val="00C96F7E"/>
    <w:rsid w:val="00CB42DD"/>
    <w:rsid w:val="00CB6451"/>
    <w:rsid w:val="00CB6762"/>
    <w:rsid w:val="00CB7530"/>
    <w:rsid w:val="00CB76F6"/>
    <w:rsid w:val="00CC1076"/>
    <w:rsid w:val="00CE421C"/>
    <w:rsid w:val="00CE60BC"/>
    <w:rsid w:val="00CE630B"/>
    <w:rsid w:val="00D01573"/>
    <w:rsid w:val="00D01AEC"/>
    <w:rsid w:val="00D01C50"/>
    <w:rsid w:val="00D01CDF"/>
    <w:rsid w:val="00D04449"/>
    <w:rsid w:val="00D04B04"/>
    <w:rsid w:val="00D04BBD"/>
    <w:rsid w:val="00D11083"/>
    <w:rsid w:val="00D138AC"/>
    <w:rsid w:val="00D15EE7"/>
    <w:rsid w:val="00D21AB5"/>
    <w:rsid w:val="00D24F0F"/>
    <w:rsid w:val="00D32D8F"/>
    <w:rsid w:val="00D37D1D"/>
    <w:rsid w:val="00D40F22"/>
    <w:rsid w:val="00D414B2"/>
    <w:rsid w:val="00D4558B"/>
    <w:rsid w:val="00D51A10"/>
    <w:rsid w:val="00D630D7"/>
    <w:rsid w:val="00D6352B"/>
    <w:rsid w:val="00D65AAB"/>
    <w:rsid w:val="00D7769F"/>
    <w:rsid w:val="00D972C7"/>
    <w:rsid w:val="00DA676C"/>
    <w:rsid w:val="00DB40E4"/>
    <w:rsid w:val="00DB49D6"/>
    <w:rsid w:val="00DB5626"/>
    <w:rsid w:val="00DC4E3C"/>
    <w:rsid w:val="00DD0DFE"/>
    <w:rsid w:val="00DD2313"/>
    <w:rsid w:val="00DD5A0A"/>
    <w:rsid w:val="00DD7777"/>
    <w:rsid w:val="00DE27F8"/>
    <w:rsid w:val="00DE33DF"/>
    <w:rsid w:val="00DE6E06"/>
    <w:rsid w:val="00DF2669"/>
    <w:rsid w:val="00DF721D"/>
    <w:rsid w:val="00E0089C"/>
    <w:rsid w:val="00E03B0D"/>
    <w:rsid w:val="00E124EB"/>
    <w:rsid w:val="00E1640F"/>
    <w:rsid w:val="00E202AD"/>
    <w:rsid w:val="00E2253E"/>
    <w:rsid w:val="00E27EA0"/>
    <w:rsid w:val="00E4407C"/>
    <w:rsid w:val="00E4745E"/>
    <w:rsid w:val="00E50908"/>
    <w:rsid w:val="00E5612A"/>
    <w:rsid w:val="00E56F81"/>
    <w:rsid w:val="00E72233"/>
    <w:rsid w:val="00E76A52"/>
    <w:rsid w:val="00E774A5"/>
    <w:rsid w:val="00E82E56"/>
    <w:rsid w:val="00E83925"/>
    <w:rsid w:val="00E8602C"/>
    <w:rsid w:val="00E87A1A"/>
    <w:rsid w:val="00E90B2E"/>
    <w:rsid w:val="00E90D15"/>
    <w:rsid w:val="00E922D7"/>
    <w:rsid w:val="00EA5536"/>
    <w:rsid w:val="00EA6F5F"/>
    <w:rsid w:val="00EB0E64"/>
    <w:rsid w:val="00EB190B"/>
    <w:rsid w:val="00EB3531"/>
    <w:rsid w:val="00EB4A64"/>
    <w:rsid w:val="00EB5E31"/>
    <w:rsid w:val="00EB673D"/>
    <w:rsid w:val="00ED13D5"/>
    <w:rsid w:val="00ED195B"/>
    <w:rsid w:val="00ED3BB1"/>
    <w:rsid w:val="00ED53A2"/>
    <w:rsid w:val="00EE27A1"/>
    <w:rsid w:val="00EF25AE"/>
    <w:rsid w:val="00EF4911"/>
    <w:rsid w:val="00F03AF8"/>
    <w:rsid w:val="00F05F42"/>
    <w:rsid w:val="00F0702F"/>
    <w:rsid w:val="00F070CD"/>
    <w:rsid w:val="00F108D2"/>
    <w:rsid w:val="00F1274C"/>
    <w:rsid w:val="00F21156"/>
    <w:rsid w:val="00F357A9"/>
    <w:rsid w:val="00F3597F"/>
    <w:rsid w:val="00F44F55"/>
    <w:rsid w:val="00F5561D"/>
    <w:rsid w:val="00F6247B"/>
    <w:rsid w:val="00F64722"/>
    <w:rsid w:val="00F7228F"/>
    <w:rsid w:val="00F73D07"/>
    <w:rsid w:val="00F813BC"/>
    <w:rsid w:val="00F82065"/>
    <w:rsid w:val="00F8612A"/>
    <w:rsid w:val="00F96368"/>
    <w:rsid w:val="00FA4CB8"/>
    <w:rsid w:val="00FA5CDF"/>
    <w:rsid w:val="00FA6D2E"/>
    <w:rsid w:val="00FA7DE9"/>
    <w:rsid w:val="00FB0F89"/>
    <w:rsid w:val="00FC40A5"/>
    <w:rsid w:val="00FC416B"/>
    <w:rsid w:val="00FC4F35"/>
    <w:rsid w:val="00FD07E2"/>
    <w:rsid w:val="00FD2180"/>
    <w:rsid w:val="00FD6901"/>
    <w:rsid w:val="00FD7078"/>
    <w:rsid w:val="00FF4114"/>
    <w:rsid w:val="08E11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E685C29-CC9C-4602-85BD-8BE73F56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pPr>
      <w:jc w:val="both"/>
    </w:pPr>
    <w:rPr>
      <w:rFonts w:eastAsia="Times New Roman"/>
      <w:szCs w:val="24"/>
      <w:lang w:eastAsia="en-U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link w:val="CarattereCarattereCharCharCharCharCharCharZchn"/>
    <w:uiPriority w:val="99"/>
    <w:qFormat/>
    <w:rPr>
      <w:vertAlign w:val="superscript"/>
    </w:rPr>
  </w:style>
  <w:style w:type="paragraph" w:customStyle="1" w:styleId="CarattereCarattereCharCharCharCharCharCharZchn">
    <w:name w:val="Carattere Carattere Char Char Char Char Char Char Zchn"/>
    <w:basedOn w:val="Normal"/>
    <w:next w:val="Normal"/>
    <w:link w:val="FootnoteReference"/>
    <w:uiPriority w:val="99"/>
    <w:qFormat/>
    <w:pPr>
      <w:spacing w:after="160" w:line="240" w:lineRule="exact"/>
    </w:pPr>
    <w:rPr>
      <w:rFonts w:asciiTheme="minorHAnsi" w:eastAsiaTheme="minorHAnsi" w:hAnsiTheme="minorHAnsi" w:cstheme="minorBidi"/>
      <w:sz w:val="22"/>
      <w:szCs w:val="22"/>
      <w:vertAlign w:val="superscript"/>
      <w:lang w:eastAsia="en-US"/>
    </w:rPr>
  </w:style>
  <w:style w:type="paragraph" w:styleId="FootnoteText">
    <w:name w:val="footnote text"/>
    <w:basedOn w:val="Normal"/>
    <w:link w:val="FootnoteTextChar"/>
    <w:uiPriority w:val="99"/>
    <w:qFormat/>
    <w:rPr>
      <w:rFonts w:ascii=".VnTime" w:eastAsia="Times New Roman" w:hAnsi=".VnTime"/>
      <w:sz w:val="20"/>
      <w:szCs w:val="20"/>
      <w:lang w:val="zh-CN"/>
    </w:rPr>
  </w:style>
  <w:style w:type="paragraph" w:styleId="Header">
    <w:name w:val="header"/>
    <w:basedOn w:val="Normal"/>
    <w:link w:val="HeaderChar"/>
    <w:uiPriority w:val="99"/>
    <w:unhideWhenUsed/>
    <w:pPr>
      <w:tabs>
        <w:tab w:val="center" w:pos="4680"/>
        <w:tab w:val="right" w:pos="9360"/>
      </w:tabs>
    </w:p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eastAsia="zh-CN"/>
    </w:rPr>
  </w:style>
  <w:style w:type="character" w:customStyle="1" w:styleId="HeaderChar">
    <w:name w:val="Header Char"/>
    <w:basedOn w:val="DefaultParagraphFont"/>
    <w:link w:val="Header"/>
    <w:uiPriority w:val="99"/>
    <w:rPr>
      <w:rFonts w:ascii="Times New Roman" w:eastAsia="SimSun" w:hAnsi="Times New Roman" w:cs="Times New Roman"/>
      <w:sz w:val="28"/>
      <w:szCs w:val="28"/>
      <w:lang w:eastAsia="zh-CN"/>
    </w:rPr>
  </w:style>
  <w:style w:type="character" w:customStyle="1" w:styleId="FooterChar">
    <w:name w:val="Footer Char"/>
    <w:basedOn w:val="DefaultParagraphFont"/>
    <w:link w:val="Footer"/>
    <w:uiPriority w:val="99"/>
    <w:rPr>
      <w:rFonts w:ascii="Times New Roman" w:eastAsia="SimSun" w:hAnsi="Times New Roman" w:cs="Times New Roman"/>
      <w:sz w:val="28"/>
      <w:szCs w:val="28"/>
      <w:lang w:eastAsia="zh-CN"/>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paragraph" w:customStyle="1" w:styleId="CharCharChar1Char">
    <w:name w:val="Char Char Char1 Char"/>
    <w:basedOn w:val="Normal"/>
    <w:pPr>
      <w:spacing w:after="160" w:line="240" w:lineRule="exact"/>
    </w:pPr>
    <w:rPr>
      <w:rFonts w:ascii="Tahoma" w:eastAsia="PMingLiU" w:hAnsi="Tahoma"/>
      <w:sz w:val="20"/>
      <w:szCs w:val="20"/>
      <w:lang w:eastAsia="en-US"/>
    </w:rPr>
  </w:style>
  <w:style w:type="character" w:customStyle="1" w:styleId="FootnoteTextChar">
    <w:name w:val="Footnote Text Char"/>
    <w:basedOn w:val="DefaultParagraphFont"/>
    <w:link w:val="FootnoteText"/>
    <w:uiPriority w:val="99"/>
    <w:qFormat/>
    <w:rPr>
      <w:rFonts w:ascii=".VnTime" w:eastAsia="Times New Roman" w:hAnsi=".VnTime" w:cs="Times New Roman"/>
      <w:sz w:val="20"/>
      <w:szCs w:val="20"/>
      <w:lang w:val="zh-CN" w:eastAsia="zh-CN"/>
    </w:rPr>
  </w:style>
  <w:style w:type="character" w:customStyle="1" w:styleId="BodyTextChar">
    <w:name w:val="Body Text Char"/>
    <w:basedOn w:val="DefaultParagraphFont"/>
    <w:link w:val="BodyText"/>
    <w:rPr>
      <w:rFonts w:ascii="Times New Roman" w:eastAsia="Times New Roman" w:hAnsi="Times New Roman" w:cs="Times New Roman"/>
      <w:sz w:val="28"/>
      <w:szCs w:val="24"/>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NewRomanPSMT" w:hAnsi="TimesNewRomanPSMT" w:hint="default"/>
      <w:color w:val="000000"/>
      <w:sz w:val="28"/>
      <w:szCs w:val="28"/>
    </w:rPr>
  </w:style>
  <w:style w:type="character" w:customStyle="1" w:styleId="fontstyle21">
    <w:name w:val="fontstyle21"/>
    <w:basedOn w:val="DefaultParagraphFont"/>
    <w:rPr>
      <w:rFonts w:ascii="TimesNewRomanPS-ItalicMT" w:hAnsi="TimesNewRomanPS-ItalicMT" w:hint="default"/>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AB699-7D29-4707-87B0-041F6377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2023-05-22T02:38:00Z</cp:lastPrinted>
  <dcterms:created xsi:type="dcterms:W3CDTF">2024-03-26T02:58:00Z</dcterms:created>
  <dcterms:modified xsi:type="dcterms:W3CDTF">2024-03-26T02:58:00Z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58DD3CFA21854E3D9C4ED6608FA9E148_13</vt:lpwstr>
  </property>
</Properties>
</file>